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F0F8C" w:rsidRDefault="003F0F8C" w:rsidP="003F0F8C">
      <w:pPr>
        <w:suppressLineNumbers/>
        <w:rPr>
          <w:rtl/>
        </w:rPr>
      </w:pPr>
      <w:bookmarkStart w:id="0" w:name="_GoBack"/>
      <w:bookmarkEnd w:id="0"/>
      <w:r>
        <w:rPr>
          <w:rtl/>
        </w:rPr>
        <w:t xml:space="preserve">  </w:t>
      </w:r>
    </w:p>
    <w:p w:rsidR="003F0F8C" w:rsidRDefault="003F0F8C" w:rsidP="003F0F8C">
      <w:pPr>
        <w:suppressLineNumbers/>
        <w:rPr>
          <w:rtl/>
        </w:rPr>
      </w:pPr>
    </w:p>
    <w:p w:rsidR="003F0F8C" w:rsidRDefault="009E3D1D" w:rsidP="003F0F8C">
      <w:pPr>
        <w:suppressLineNumbers/>
        <w:rPr>
          <w:rtl/>
        </w:rPr>
      </w:pPr>
      <w:sdt>
        <w:sdtPr>
          <w:rPr>
            <w:rtl/>
          </w:rPr>
          <w:alias w:val="1170"/>
          <w:tag w:val="1170"/>
          <w:id w:val="1066377040"/>
          <w:text w:multiLine="1"/>
        </w:sdtPr>
        <w:sdtEndPr/>
        <w:sdtContent>
          <w:proofErr w:type="spellStart"/>
          <w:r w:rsidR="003F0F8C">
            <w:rPr>
              <w:b/>
              <w:bCs/>
              <w:noProof w:val="0"/>
              <w:sz w:val="26"/>
              <w:szCs w:val="26"/>
              <w:rtl/>
            </w:rPr>
            <w:t>רמ"ש</w:t>
          </w:r>
          <w:proofErr w:type="spellEnd"/>
        </w:sdtContent>
      </w:sdt>
      <w:r w:rsidR="003F0F8C">
        <w:rPr>
          <w:b/>
          <w:bCs/>
          <w:noProof w:val="0"/>
          <w:sz w:val="26"/>
          <w:szCs w:val="26"/>
          <w:rtl/>
        </w:rPr>
        <w:t xml:space="preserve"> </w:t>
      </w:r>
      <w:sdt>
        <w:sdtPr>
          <w:rPr>
            <w:rtl/>
          </w:rPr>
          <w:alias w:val="1171"/>
          <w:tag w:val="1171"/>
          <w:id w:val="257034231"/>
          <w:text w:multiLine="1"/>
        </w:sdtPr>
        <w:sdtEndPr/>
        <w:sdtContent>
          <w:r w:rsidR="003F0F8C">
            <w:rPr>
              <w:b/>
              <w:bCs/>
              <w:noProof w:val="0"/>
              <w:sz w:val="26"/>
              <w:szCs w:val="26"/>
              <w:rtl/>
            </w:rPr>
            <w:t>39725-11-23</w:t>
          </w:r>
        </w:sdtContent>
      </w:sdt>
      <w:r w:rsidR="003F0F8C">
        <w:rPr>
          <w:b/>
          <w:bCs/>
          <w:noProof w:val="0"/>
          <w:sz w:val="26"/>
          <w:szCs w:val="26"/>
          <w:rtl/>
        </w:rPr>
        <w:t xml:space="preserve"> </w:t>
      </w:r>
      <w:sdt>
        <w:sdtPr>
          <w:rPr>
            <w:b/>
            <w:bCs/>
            <w:noProof w:val="0"/>
            <w:sz w:val="26"/>
            <w:szCs w:val="26"/>
            <w:rtl/>
          </w:rPr>
          <w:alias w:val="3154"/>
          <w:tag w:val="3154"/>
          <w:id w:val="-1714497037"/>
          <w:placeholder>
            <w:docPart w:val="B6A54D7EE2B24E04B8D2C81FA0A053DB"/>
          </w:placeholder>
          <w:text w:multiLine="1"/>
        </w:sdtPr>
        <w:sdtEndPr/>
        <w:sdtContent>
          <w:r w:rsidR="003F0F8C">
            <w:rPr>
              <w:b/>
              <w:bCs/>
              <w:noProof w:val="0"/>
              <w:sz w:val="26"/>
              <w:szCs w:val="26"/>
              <w:rtl/>
            </w:rPr>
            <w:t>פלוני נ' פלונית</w:t>
          </w:r>
        </w:sdtContent>
      </w:sdt>
    </w:p>
    <w:p w:rsidR="003F0F8C" w:rsidRDefault="003F0F8C" w:rsidP="003F0F8C">
      <w:pPr>
        <w:suppressLineNumbers/>
        <w:rPr>
          <w:rtl/>
        </w:rPr>
      </w:pPr>
    </w:p>
    <w:p w:rsidR="003F0F8C" w:rsidRDefault="003F0F8C" w:rsidP="003F0F8C">
      <w:pPr>
        <w:suppressLineNumbers/>
      </w:pPr>
    </w:p>
    <w:tbl>
      <w:tblPr>
        <w:tblStyle w:val="a4"/>
        <w:bidiVisual/>
        <w:tblW w:w="8820" w:type="dxa"/>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3F0F8C" w:rsidTr="003F0F8C">
        <w:trPr>
          <w:jc w:val="center"/>
        </w:trPr>
        <w:tc>
          <w:tcPr>
            <w:tcW w:w="743" w:type="dxa"/>
            <w:hideMark/>
          </w:tcPr>
          <w:p w:rsidR="003F0F8C" w:rsidRDefault="003F0F8C">
            <w:pPr>
              <w:suppressLineNumbers/>
              <w:jc w:val="both"/>
              <w:rPr>
                <w:rFonts w:ascii="Arial" w:hAnsi="Arial"/>
                <w:b/>
                <w:bCs/>
                <w:sz w:val="26"/>
                <w:szCs w:val="26"/>
                <w:rtl/>
              </w:rPr>
            </w:pPr>
            <w:r>
              <w:rPr>
                <w:rFonts w:ascii="Arial" w:hAnsi="Arial"/>
                <w:b/>
                <w:bCs/>
                <w:sz w:val="26"/>
                <w:szCs w:val="26"/>
                <w:rtl/>
              </w:rPr>
              <w:t xml:space="preserve">לפני </w:t>
            </w:r>
          </w:p>
        </w:tc>
        <w:tc>
          <w:tcPr>
            <w:tcW w:w="8077" w:type="dxa"/>
            <w:gridSpan w:val="2"/>
          </w:tcPr>
          <w:p w:rsidR="003F0F8C" w:rsidRDefault="003F0F8C" w:rsidP="003F0F8C">
            <w:pPr>
              <w:suppressLineNumbers/>
              <w:jc w:val="left"/>
              <w:rPr>
                <w:rFonts w:ascii="Arial" w:hAnsi="Arial"/>
                <w:b/>
                <w:bCs/>
                <w:sz w:val="26"/>
                <w:szCs w:val="26"/>
                <w:rtl/>
              </w:rPr>
            </w:pPr>
            <w:r>
              <w:rPr>
                <w:rFonts w:ascii="Arial" w:hAnsi="Arial"/>
                <w:b/>
                <w:bCs/>
                <w:sz w:val="26"/>
                <w:szCs w:val="26"/>
                <w:rtl/>
              </w:rPr>
              <w:t>כבוד ה</w:t>
            </w:r>
            <w:sdt>
              <w:sdtPr>
                <w:rPr>
                  <w:sz w:val="26"/>
                  <w:szCs w:val="26"/>
                  <w:rtl/>
                </w:rPr>
                <w:alias w:val="1574"/>
                <w:tag w:val="1574"/>
                <w:id w:val="414602899"/>
                <w:text w:multiLine="1"/>
              </w:sdtPr>
              <w:sdtEndPr/>
              <w:sdtContent>
                <w:r>
                  <w:rPr>
                    <w:rFonts w:ascii="Arial" w:hAnsi="Arial"/>
                    <w:b/>
                    <w:bCs/>
                    <w:sz w:val="26"/>
                    <w:szCs w:val="26"/>
                    <w:rtl/>
                  </w:rPr>
                  <w:t>שופטת</w:t>
                </w:r>
              </w:sdtContent>
            </w:sdt>
            <w:r>
              <w:rPr>
                <w:rFonts w:ascii="Arial" w:hAnsi="Arial"/>
                <w:b/>
                <w:bCs/>
                <w:sz w:val="26"/>
                <w:szCs w:val="26"/>
                <w:rtl/>
              </w:rPr>
              <w:t xml:space="preserve"> </w:t>
            </w:r>
            <w:sdt>
              <w:sdtPr>
                <w:rPr>
                  <w:sz w:val="26"/>
                  <w:szCs w:val="26"/>
                  <w:rtl/>
                </w:rPr>
                <w:alias w:val="1573"/>
                <w:tag w:val="1573"/>
                <w:id w:val="-1751030614"/>
                <w:text w:multiLine="1"/>
              </w:sdtPr>
              <w:sdtEndPr/>
              <w:sdtContent>
                <w:r>
                  <w:rPr>
                    <w:rFonts w:ascii="Arial" w:hAnsi="Arial"/>
                    <w:b/>
                    <w:bCs/>
                    <w:sz w:val="26"/>
                    <w:szCs w:val="26"/>
                    <w:rtl/>
                  </w:rPr>
                  <w:t>פאני גילת כהן</w:t>
                </w:r>
              </w:sdtContent>
            </w:sdt>
          </w:p>
          <w:p w:rsidR="003F0F8C" w:rsidRDefault="003F0F8C">
            <w:pPr>
              <w:suppressLineNumbers/>
              <w:rPr>
                <w:sz w:val="26"/>
                <w:szCs w:val="26"/>
                <w:rtl/>
              </w:rPr>
            </w:pPr>
          </w:p>
          <w:p w:rsidR="003F0F8C" w:rsidRDefault="003F0F8C">
            <w:pPr>
              <w:suppressLineNumbers/>
              <w:rPr>
                <w:sz w:val="26"/>
                <w:szCs w:val="26"/>
                <w:rtl/>
              </w:rPr>
            </w:pPr>
          </w:p>
        </w:tc>
      </w:tr>
      <w:tr w:rsidR="003F0F8C" w:rsidTr="003F0F8C">
        <w:trPr>
          <w:jc w:val="center"/>
        </w:trPr>
        <w:tc>
          <w:tcPr>
            <w:tcW w:w="3249" w:type="dxa"/>
            <w:gridSpan w:val="2"/>
          </w:tcPr>
          <w:p w:rsidR="003F0F8C" w:rsidRDefault="003F0F8C">
            <w:pPr>
              <w:suppressLineNumbers/>
            </w:pPr>
          </w:p>
          <w:sdt>
            <w:sdtPr>
              <w:rPr>
                <w:rtl/>
              </w:rPr>
              <w:alias w:val="1180"/>
              <w:tag w:val="1180"/>
              <w:id w:val="637458750"/>
              <w:text w:multiLine="1"/>
            </w:sdtPr>
            <w:sdtEndPr/>
            <w:sdtContent>
              <w:p w:rsidR="003F0F8C" w:rsidRDefault="003F0F8C">
                <w:pPr>
                  <w:suppressLineNumbers/>
                  <w:jc w:val="left"/>
                  <w:rPr>
                    <w:rFonts w:ascii="Arial" w:hAnsi="Arial"/>
                    <w:b/>
                    <w:bCs/>
                    <w:noProof w:val="0"/>
                    <w:sz w:val="26"/>
                    <w:szCs w:val="26"/>
                    <w:rtl/>
                  </w:rPr>
                </w:pPr>
                <w:r>
                  <w:rPr>
                    <w:rFonts w:ascii="Arial" w:hAnsi="Arial"/>
                    <w:b/>
                    <w:bCs/>
                    <w:noProof w:val="0"/>
                    <w:sz w:val="26"/>
                    <w:szCs w:val="26"/>
                    <w:rtl/>
                  </w:rPr>
                  <w:t>המבקש</w:t>
                </w:r>
              </w:p>
            </w:sdtContent>
          </w:sdt>
        </w:tc>
        <w:tc>
          <w:tcPr>
            <w:tcW w:w="5571" w:type="dxa"/>
          </w:tcPr>
          <w:p w:rsidR="003F0F8C" w:rsidRDefault="003F0F8C">
            <w:pPr>
              <w:suppressLineNumbers/>
              <w:rPr>
                <w:rtl/>
              </w:rPr>
            </w:pPr>
          </w:p>
          <w:p w:rsidR="003F0F8C" w:rsidRDefault="009E3D1D" w:rsidP="003F0F8C">
            <w:pPr>
              <w:suppressLineNumbers/>
              <w:jc w:val="left"/>
              <w:rPr>
                <w:b/>
                <w:bCs/>
                <w:noProof w:val="0"/>
                <w:sz w:val="26"/>
                <w:szCs w:val="26"/>
                <w:rtl/>
              </w:rPr>
            </w:pPr>
            <w:sdt>
              <w:sdtPr>
                <w:rPr>
                  <w:rFonts w:ascii="Arial" w:hAnsi="Arial"/>
                  <w:b/>
                  <w:bCs/>
                  <w:noProof w:val="0"/>
                  <w:sz w:val="26"/>
                  <w:szCs w:val="26"/>
                  <w:rtl/>
                </w:rPr>
                <w:alias w:val="3151"/>
                <w:tag w:val="3151"/>
                <w:id w:val="1166218717"/>
                <w:placeholder>
                  <w:docPart w:val="19043C12E1C146CABEC7AD0F7E4EC858"/>
                </w:placeholder>
                <w:text w:multiLine="1"/>
              </w:sdtPr>
              <w:sdtEndPr/>
              <w:sdtContent>
                <w:r w:rsidR="003F0F8C">
                  <w:rPr>
                    <w:rFonts w:ascii="Arial" w:hAnsi="Arial"/>
                    <w:b/>
                    <w:bCs/>
                    <w:noProof w:val="0"/>
                    <w:sz w:val="26"/>
                    <w:szCs w:val="26"/>
                    <w:rtl/>
                  </w:rPr>
                  <w:t>פלוני</w:t>
                </w:r>
                <w:r w:rsidR="003F0F8C">
                  <w:rPr>
                    <w:rFonts w:ascii="Arial" w:hAnsi="Arial"/>
                    <w:b/>
                    <w:bCs/>
                    <w:noProof w:val="0"/>
                    <w:sz w:val="26"/>
                    <w:szCs w:val="26"/>
                    <w:rtl/>
                  </w:rPr>
                  <w:br/>
                  <w:t xml:space="preserve">באמצעות ב"כ עו"ד מירי דדון ועו"ד יצחק רביב </w:t>
                </w:r>
                <w:proofErr w:type="spellStart"/>
                <w:r w:rsidR="003F0F8C">
                  <w:rPr>
                    <w:rFonts w:ascii="Arial" w:hAnsi="Arial"/>
                    <w:b/>
                    <w:bCs/>
                    <w:noProof w:val="0"/>
                    <w:sz w:val="26"/>
                    <w:szCs w:val="26"/>
                    <w:rtl/>
                  </w:rPr>
                  <w:t>רבינוביץ</w:t>
                </w:r>
                <w:proofErr w:type="spellEnd"/>
              </w:sdtContent>
            </w:sdt>
          </w:p>
        </w:tc>
      </w:tr>
      <w:tr w:rsidR="003F0F8C" w:rsidTr="003F0F8C">
        <w:trPr>
          <w:jc w:val="center"/>
        </w:trPr>
        <w:tc>
          <w:tcPr>
            <w:tcW w:w="8820" w:type="dxa"/>
            <w:gridSpan w:val="3"/>
          </w:tcPr>
          <w:p w:rsidR="003F0F8C" w:rsidRDefault="003F0F8C">
            <w:pPr>
              <w:suppressLineNumbers/>
              <w:rPr>
                <w:rFonts w:ascii="Arial" w:hAnsi="Arial"/>
                <w:b/>
                <w:bCs/>
                <w:noProof w:val="0"/>
                <w:sz w:val="26"/>
                <w:szCs w:val="26"/>
              </w:rPr>
            </w:pPr>
          </w:p>
          <w:p w:rsidR="003F0F8C" w:rsidRDefault="003F0F8C">
            <w:pPr>
              <w:suppressLineNumbers/>
              <w:jc w:val="center"/>
              <w:rPr>
                <w:rFonts w:ascii="Arial" w:hAnsi="Arial"/>
                <w:b/>
                <w:bCs/>
                <w:noProof w:val="0"/>
                <w:sz w:val="26"/>
                <w:szCs w:val="26"/>
                <w:rtl/>
              </w:rPr>
            </w:pPr>
          </w:p>
        </w:tc>
      </w:tr>
      <w:tr w:rsidR="003F0F8C" w:rsidTr="003F0F8C">
        <w:trPr>
          <w:jc w:val="center"/>
        </w:trPr>
        <w:tc>
          <w:tcPr>
            <w:tcW w:w="3249" w:type="dxa"/>
            <w:gridSpan w:val="2"/>
            <w:hideMark/>
          </w:tcPr>
          <w:p w:rsidR="003F0F8C" w:rsidRDefault="009E3D1D" w:rsidP="003F0F8C">
            <w:pPr>
              <w:suppressLineNumbers/>
              <w:jc w:val="left"/>
              <w:rPr>
                <w:rFonts w:ascii="Arial" w:hAnsi="Arial"/>
                <w:b/>
                <w:bCs/>
                <w:noProof w:val="0"/>
                <w:sz w:val="26"/>
                <w:szCs w:val="26"/>
              </w:rPr>
            </w:pPr>
            <w:sdt>
              <w:sdtPr>
                <w:rPr>
                  <w:rtl/>
                </w:rPr>
                <w:alias w:val="1184"/>
                <w:tag w:val="1184"/>
                <w:id w:val="-340621022"/>
                <w:text w:multiLine="1"/>
              </w:sdtPr>
              <w:sdtEndPr/>
              <w:sdtContent>
                <w:r w:rsidR="003F0F8C">
                  <w:rPr>
                    <w:rFonts w:ascii="Arial" w:hAnsi="Arial"/>
                    <w:b/>
                    <w:bCs/>
                    <w:noProof w:val="0"/>
                    <w:sz w:val="26"/>
                    <w:szCs w:val="26"/>
                    <w:rtl/>
                  </w:rPr>
                  <w:t>המשיבה</w:t>
                </w:r>
              </w:sdtContent>
            </w:sdt>
          </w:p>
        </w:tc>
        <w:tc>
          <w:tcPr>
            <w:tcW w:w="5571" w:type="dxa"/>
            <w:hideMark/>
          </w:tcPr>
          <w:p w:rsidR="003F0F8C" w:rsidRDefault="009E3D1D" w:rsidP="003F0F8C">
            <w:pPr>
              <w:suppressLineNumbers/>
              <w:jc w:val="left"/>
              <w:rPr>
                <w:rFonts w:ascii="Arial" w:hAnsi="Arial"/>
                <w:b/>
                <w:bCs/>
                <w:noProof w:val="0"/>
                <w:sz w:val="26"/>
                <w:szCs w:val="26"/>
              </w:rPr>
            </w:pPr>
            <w:sdt>
              <w:sdtPr>
                <w:rPr>
                  <w:rFonts w:ascii="Arial" w:hAnsi="Arial"/>
                  <w:b/>
                  <w:bCs/>
                  <w:noProof w:val="0"/>
                  <w:sz w:val="26"/>
                  <w:szCs w:val="26"/>
                  <w:rtl/>
                </w:rPr>
                <w:alias w:val="3152"/>
                <w:tag w:val="3152"/>
                <w:id w:val="-1346628691"/>
                <w:placeholder>
                  <w:docPart w:val="470022AFB7174884B4CF0EA76A1869BC"/>
                </w:placeholder>
                <w:text w:multiLine="1"/>
              </w:sdtPr>
              <w:sdtEndPr/>
              <w:sdtContent>
                <w:r w:rsidR="003F0F8C">
                  <w:rPr>
                    <w:rFonts w:ascii="Arial" w:hAnsi="Arial"/>
                    <w:b/>
                    <w:bCs/>
                    <w:noProof w:val="0"/>
                    <w:sz w:val="26"/>
                    <w:szCs w:val="26"/>
                    <w:rtl/>
                  </w:rPr>
                  <w:t>פלונית</w:t>
                </w:r>
                <w:r w:rsidR="003F0F8C">
                  <w:rPr>
                    <w:rFonts w:ascii="Arial" w:hAnsi="Arial"/>
                    <w:b/>
                    <w:bCs/>
                    <w:noProof w:val="0"/>
                    <w:sz w:val="26"/>
                    <w:szCs w:val="26"/>
                    <w:rtl/>
                  </w:rPr>
                  <w:br/>
                </w:r>
                <w:r w:rsidR="003F0F8C">
                  <w:rPr>
                    <w:rFonts w:ascii="Arial" w:hAnsi="Arial"/>
                    <w:b/>
                    <w:bCs/>
                    <w:noProof w:val="0"/>
                    <w:sz w:val="26"/>
                    <w:szCs w:val="26"/>
                    <w:rtl/>
                  </w:rPr>
                  <w:br/>
                </w:r>
              </w:sdtContent>
            </w:sdt>
          </w:p>
        </w:tc>
      </w:tr>
      <w:tr w:rsidR="003F0F8C" w:rsidTr="003F0F8C">
        <w:trPr>
          <w:jc w:val="center"/>
        </w:trPr>
        <w:tc>
          <w:tcPr>
            <w:tcW w:w="8820" w:type="dxa"/>
            <w:gridSpan w:val="3"/>
          </w:tcPr>
          <w:p w:rsidR="003F0F8C" w:rsidRDefault="003F0F8C">
            <w:pPr>
              <w:suppressLineNumbers/>
              <w:rPr>
                <w:rtl/>
              </w:rPr>
            </w:pPr>
          </w:p>
        </w:tc>
      </w:tr>
      <w:tr w:rsidR="003F0F8C" w:rsidTr="003F0F8C">
        <w:trPr>
          <w:jc w:val="center"/>
        </w:trPr>
        <w:tc>
          <w:tcPr>
            <w:tcW w:w="3249" w:type="dxa"/>
            <w:gridSpan w:val="2"/>
          </w:tcPr>
          <w:p w:rsidR="003F0F8C" w:rsidRDefault="003F0F8C">
            <w:pPr>
              <w:rPr>
                <w:rFonts w:ascii="David" w:eastAsia="David" w:hAnsi="David"/>
                <w:b/>
                <w:bCs/>
                <w:noProof w:val="0"/>
                <w:rtl/>
              </w:rPr>
            </w:pPr>
          </w:p>
        </w:tc>
        <w:tc>
          <w:tcPr>
            <w:tcW w:w="5571" w:type="dxa"/>
          </w:tcPr>
          <w:p w:rsidR="003F0F8C" w:rsidRDefault="003F0F8C">
            <w:pPr>
              <w:rPr>
                <w:b/>
                <w:bCs/>
                <w:sz w:val="26"/>
                <w:szCs w:val="26"/>
              </w:rPr>
            </w:pPr>
          </w:p>
        </w:tc>
      </w:tr>
      <w:tr w:rsidR="003F0F8C" w:rsidTr="003F0F8C">
        <w:trPr>
          <w:jc w:val="center"/>
        </w:trPr>
        <w:tc>
          <w:tcPr>
            <w:tcW w:w="8820" w:type="dxa"/>
            <w:gridSpan w:val="3"/>
          </w:tcPr>
          <w:p w:rsidR="003F0F8C" w:rsidRDefault="003F0F8C">
            <w:pPr>
              <w:bidi w:val="0"/>
              <w:jc w:val="center"/>
              <w:rPr>
                <w:rFonts w:ascii="Arial" w:hAnsi="Arial"/>
                <w:b/>
                <w:bCs/>
                <w:noProof w:val="0"/>
                <w:sz w:val="32"/>
                <w:szCs w:val="32"/>
                <w:u w:val="single"/>
                <w:rtl/>
              </w:rPr>
            </w:pPr>
            <w:r>
              <w:rPr>
                <w:rFonts w:ascii="Arial" w:hAnsi="Arial"/>
                <w:b/>
                <w:bCs/>
                <w:noProof w:val="0"/>
                <w:sz w:val="32"/>
                <w:szCs w:val="32"/>
                <w:u w:val="single"/>
                <w:rtl/>
              </w:rPr>
              <w:t>החלטה</w:t>
            </w:r>
          </w:p>
          <w:p w:rsidR="003F0F8C" w:rsidRDefault="003F0F8C" w:rsidP="003F0F8C">
            <w:pPr>
              <w:bidi w:val="0"/>
              <w:jc w:val="center"/>
              <w:rPr>
                <w:rFonts w:ascii="Arial" w:hAnsi="Arial"/>
                <w:b/>
                <w:bCs/>
                <w:noProof w:val="0"/>
                <w:sz w:val="32"/>
                <w:szCs w:val="32"/>
                <w:u w:val="single"/>
                <w:rtl/>
              </w:rPr>
            </w:pPr>
          </w:p>
          <w:p w:rsidR="003F0F8C" w:rsidRDefault="003F0F8C">
            <w:pPr>
              <w:jc w:val="both"/>
              <w:rPr>
                <w:rFonts w:ascii="Arial" w:hAnsi="Arial"/>
                <w:b/>
                <w:bCs/>
                <w:noProof w:val="0"/>
              </w:rPr>
            </w:pPr>
          </w:p>
        </w:tc>
      </w:tr>
    </w:tbl>
    <w:p w:rsidR="003F0F8C" w:rsidRDefault="003F0F8C" w:rsidP="003F0F8C">
      <w:pPr>
        <w:pStyle w:val="a3"/>
        <w:numPr>
          <w:ilvl w:val="0"/>
          <w:numId w:val="1"/>
        </w:numPr>
        <w:spacing w:line="360" w:lineRule="auto"/>
        <w:jc w:val="both"/>
        <w:rPr>
          <w:rFonts w:ascii="Arial" w:hAnsi="Arial"/>
          <w:noProof w:val="0"/>
          <w:rtl/>
        </w:rPr>
      </w:pPr>
      <w:bookmarkStart w:id="1" w:name="NGCSBookmark"/>
      <w:bookmarkEnd w:id="1"/>
      <w:r>
        <w:rPr>
          <w:rFonts w:ascii="Arial" w:hAnsi="Arial"/>
          <w:noProof w:val="0"/>
          <w:rtl/>
        </w:rPr>
        <w:t xml:space="preserve">לפניי בקשת רשות לערער על החלטת בית המשפט לענייני משפחה באילת מיום 30.10.2023 בגדרה נדחתה עתירת המבקש שהוכתרה כבקשה להשבת רישיון לנשיאת נשק, לאחר שהוטל עליו איסור לשאת נשק בגדרו של צו הגנה מיום 15.05.2019 אשר ניתן כנגדו לבקשת המשיבה מכוח החוק למניעת אלימות במשפחה, </w:t>
      </w:r>
      <w:proofErr w:type="spellStart"/>
      <w:r>
        <w:rPr>
          <w:rFonts w:ascii="Arial" w:hAnsi="Arial"/>
          <w:noProof w:val="0"/>
          <w:rtl/>
        </w:rPr>
        <w:t>התשנ"א</w:t>
      </w:r>
      <w:proofErr w:type="spellEnd"/>
      <w:r>
        <w:rPr>
          <w:rFonts w:ascii="Arial" w:hAnsi="Arial"/>
          <w:noProof w:val="0"/>
          <w:rtl/>
        </w:rPr>
        <w:t xml:space="preserve"> – 1991 (</w:t>
      </w:r>
      <w:proofErr w:type="spellStart"/>
      <w:r>
        <w:rPr>
          <w:rFonts w:ascii="Arial" w:hAnsi="Arial"/>
          <w:noProof w:val="0"/>
          <w:rtl/>
        </w:rPr>
        <w:t>ה"ט</w:t>
      </w:r>
      <w:proofErr w:type="spellEnd"/>
      <w:r>
        <w:rPr>
          <w:rFonts w:ascii="Arial" w:hAnsi="Arial"/>
          <w:noProof w:val="0"/>
          <w:rtl/>
        </w:rPr>
        <w:t xml:space="preserve"> 33404-05-19).  </w:t>
      </w:r>
    </w:p>
    <w:p w:rsidR="003F0F8C" w:rsidRDefault="003F0F8C" w:rsidP="003F0F8C">
      <w:pPr>
        <w:pStyle w:val="a3"/>
        <w:jc w:val="both"/>
        <w:rPr>
          <w:rFonts w:ascii="Arial" w:hAnsi="Arial"/>
          <w:noProof w:val="0"/>
        </w:rPr>
      </w:pPr>
    </w:p>
    <w:p w:rsidR="003F0F8C" w:rsidRDefault="003F0F8C" w:rsidP="003F0F8C">
      <w:pPr>
        <w:pStyle w:val="a3"/>
        <w:numPr>
          <w:ilvl w:val="0"/>
          <w:numId w:val="1"/>
        </w:numPr>
        <w:spacing w:line="360" w:lineRule="auto"/>
        <w:jc w:val="both"/>
        <w:rPr>
          <w:rFonts w:ascii="Arial" w:hAnsi="Arial"/>
          <w:noProof w:val="0"/>
        </w:rPr>
      </w:pPr>
      <w:r>
        <w:rPr>
          <w:rFonts w:ascii="Arial" w:hAnsi="Arial"/>
          <w:noProof w:val="0"/>
          <w:rtl/>
        </w:rPr>
        <w:t xml:space="preserve">מן המונח לפניי עולה, כי הצדדים הם בני זוג לשעבר, הורים לילדים משותפים, שהתגרשו זה מזו.  </w:t>
      </w:r>
    </w:p>
    <w:p w:rsidR="003F0F8C" w:rsidRDefault="003F0F8C" w:rsidP="003F0F8C">
      <w:pPr>
        <w:pStyle w:val="a3"/>
        <w:rPr>
          <w:rFonts w:ascii="Arial" w:hAnsi="Arial"/>
          <w:noProof w:val="0"/>
        </w:rPr>
      </w:pPr>
    </w:p>
    <w:p w:rsidR="003F0F8C" w:rsidRDefault="003F0F8C" w:rsidP="003F0F8C">
      <w:pPr>
        <w:pStyle w:val="a3"/>
        <w:numPr>
          <w:ilvl w:val="0"/>
          <w:numId w:val="1"/>
        </w:numPr>
        <w:spacing w:line="360" w:lineRule="auto"/>
        <w:jc w:val="both"/>
        <w:rPr>
          <w:rFonts w:ascii="Arial" w:hAnsi="Arial"/>
          <w:noProof w:val="0"/>
        </w:rPr>
      </w:pPr>
      <w:r>
        <w:rPr>
          <w:rFonts w:ascii="Arial" w:hAnsi="Arial"/>
          <w:noProof w:val="0"/>
          <w:rtl/>
        </w:rPr>
        <w:t xml:space="preserve">מעיון ברשימת ההליכים שהתנהלו לאורך השנים בין הצדדים עולה, כי היסטוריית ההתדיינויות שלהם בבית המשפט לענייני משפחה ארוכה וענפה ממנה ניתן גם ללמוד, כי מערכת היחסים ששררה ביניהם עובר לפרידתם ולפירוק התא המשפחתי אופיינה בקונפליקטים רבים שהובילו לנקיטת הליכים משפטיים מגוונים ובהם גם בקשות לצווי הגנה שהוגשו ע"י המשיבה כנגד המבקש. </w:t>
      </w:r>
    </w:p>
    <w:p w:rsidR="003F0F8C" w:rsidRDefault="003F0F8C" w:rsidP="003F0F8C">
      <w:pPr>
        <w:pStyle w:val="a3"/>
        <w:rPr>
          <w:rFonts w:ascii="Arial" w:hAnsi="Arial"/>
          <w:noProof w:val="0"/>
        </w:rPr>
      </w:pPr>
    </w:p>
    <w:p w:rsidR="003F0F8C" w:rsidRDefault="003F0F8C" w:rsidP="003F0F8C">
      <w:pPr>
        <w:pStyle w:val="a3"/>
        <w:numPr>
          <w:ilvl w:val="0"/>
          <w:numId w:val="1"/>
        </w:numPr>
        <w:spacing w:line="360" w:lineRule="auto"/>
        <w:jc w:val="both"/>
        <w:rPr>
          <w:rFonts w:ascii="Arial" w:hAnsi="Arial"/>
          <w:noProof w:val="0"/>
          <w:rtl/>
        </w:rPr>
      </w:pPr>
      <w:r>
        <w:rPr>
          <w:rFonts w:ascii="Arial" w:hAnsi="Arial"/>
          <w:noProof w:val="0"/>
          <w:rtl/>
        </w:rPr>
        <w:t xml:space="preserve">בחודש מאי 2019, לאחר גירושי הצדדים, פנתה המשיבה לבית המשפט קמא והגישה בקשה לצו הגנה כנגד המבקש בה נטען, בין היתר, כי כחודש לפני הגשת הבקשה הוא נהג כלפיה באופן מאיים ומטריד, ואף נודע לה כי הוא מצהיר ברשתות החברתיות על כוונתו לפגוע בה. עם הגשת הבקשה קיים בית המשפט דיון בה במעמד המשיבה במסגרתו היא שבה וציינה, כי היות שהמבקש נושא נשק, עיקר חששה מפני פגיעה בה ובילדי הצדדים ע"י המבקש נעוץ בעובדה שהוא נושא נשק.  </w:t>
      </w:r>
    </w:p>
    <w:p w:rsidR="003F0F8C" w:rsidRDefault="003F0F8C" w:rsidP="003F0F8C">
      <w:pPr>
        <w:pStyle w:val="a3"/>
        <w:rPr>
          <w:rFonts w:ascii="Arial" w:hAnsi="Arial"/>
          <w:noProof w:val="0"/>
        </w:rPr>
      </w:pPr>
    </w:p>
    <w:p w:rsidR="003F0F8C" w:rsidRDefault="003F0F8C" w:rsidP="003F0F8C">
      <w:pPr>
        <w:pStyle w:val="a3"/>
        <w:numPr>
          <w:ilvl w:val="0"/>
          <w:numId w:val="1"/>
        </w:numPr>
        <w:spacing w:line="360" w:lineRule="auto"/>
        <w:jc w:val="both"/>
        <w:rPr>
          <w:rFonts w:ascii="Arial" w:hAnsi="Arial"/>
          <w:noProof w:val="0"/>
          <w:rtl/>
        </w:rPr>
      </w:pPr>
      <w:r>
        <w:rPr>
          <w:rFonts w:ascii="Arial" w:hAnsi="Arial"/>
          <w:noProof w:val="0"/>
          <w:rtl/>
        </w:rPr>
        <w:lastRenderedPageBreak/>
        <w:t>בתום הדיון ניתן צו הגנה כנגד המבקש, ובגדרו גם הוטל עליו גם איסור על נשיאת נשק. כמצוות המחוקק התקיים בחלוף שבוע ימים דיון במעמד הצדדים ובסופו הוארך צו ההגנה למשך 30 יום נוספים, ובכך נחתם ההליך.</w:t>
      </w:r>
    </w:p>
    <w:p w:rsidR="003F0F8C" w:rsidRDefault="003F0F8C" w:rsidP="003F0F8C">
      <w:pPr>
        <w:pStyle w:val="a3"/>
        <w:rPr>
          <w:rFonts w:ascii="Arial" w:hAnsi="Arial"/>
          <w:noProof w:val="0"/>
        </w:rPr>
      </w:pPr>
    </w:p>
    <w:p w:rsidR="003F0F8C" w:rsidRDefault="003F0F8C" w:rsidP="003F0F8C">
      <w:pPr>
        <w:pStyle w:val="a3"/>
        <w:numPr>
          <w:ilvl w:val="0"/>
          <w:numId w:val="1"/>
        </w:numPr>
        <w:spacing w:line="360" w:lineRule="auto"/>
        <w:jc w:val="both"/>
        <w:rPr>
          <w:rFonts w:ascii="Arial" w:hAnsi="Arial"/>
          <w:noProof w:val="0"/>
          <w:rtl/>
        </w:rPr>
      </w:pPr>
      <w:r>
        <w:rPr>
          <w:rFonts w:ascii="Arial" w:hAnsi="Arial"/>
          <w:noProof w:val="0"/>
          <w:rtl/>
        </w:rPr>
        <w:t>למחרת היום פנה המבקש לבית המשפט בבקשה לביטול האיסור על נשיאת נשק ולאחר שנתקבלה תגובת המשיבה נקבע, כי אין מקום להיעתר לבקשה כל עוד צו ההגנה בתוקף.</w:t>
      </w:r>
    </w:p>
    <w:p w:rsidR="003F0F8C" w:rsidRDefault="003F0F8C" w:rsidP="003F0F8C">
      <w:pPr>
        <w:pStyle w:val="a3"/>
        <w:rPr>
          <w:rFonts w:ascii="Arial" w:hAnsi="Arial"/>
          <w:noProof w:val="0"/>
        </w:rPr>
      </w:pPr>
    </w:p>
    <w:p w:rsidR="003F0F8C" w:rsidRDefault="003F0F8C" w:rsidP="003F0F8C">
      <w:pPr>
        <w:pStyle w:val="a3"/>
        <w:numPr>
          <w:ilvl w:val="0"/>
          <w:numId w:val="1"/>
        </w:numPr>
        <w:spacing w:line="360" w:lineRule="auto"/>
        <w:jc w:val="both"/>
        <w:rPr>
          <w:rFonts w:ascii="Arial" w:hAnsi="Arial"/>
          <w:noProof w:val="0"/>
          <w:rtl/>
        </w:rPr>
      </w:pPr>
      <w:r>
        <w:rPr>
          <w:rFonts w:ascii="Arial" w:hAnsi="Arial"/>
          <w:noProof w:val="0"/>
          <w:rtl/>
        </w:rPr>
        <w:t xml:space="preserve">ביום 20.10.2023 שב ופנה המבקש לבית המשפט ועתר להשבת רישיון הנשק. בבקשה נטען, בין השאר, כי לאחר גירושי הצדדים הוא נישא שוב, הקים משפחה חדשה והעתיק מגוריו ל...; כי הוא מעולם לא איים על המשיבה ומעולם לא הובאה על ידה כל ראיה שהיא המעידה כי נשקפה ממנו מסוכנות כלשהי כלפיה, וכי הבקשה הוגשה ממניעים זרים ומתוך כוונה של המשיבה לנקום ולפגוע בו; כי נוכח המצב הביטחוני השורר בעת הזו בארץ והיות שהוא משרת כלוחם במילואים, רישיון הנשק נחוץ לו על מנת להגן על בני משפחתו ועל הציבור בכלל; כן מציין המבקש את חלוף הזמן מאז ניתן צו ההגנה, הכולל, כאמור גם האיסור לנשיאת נשק.  </w:t>
      </w:r>
    </w:p>
    <w:p w:rsidR="003F0F8C" w:rsidRDefault="003F0F8C" w:rsidP="003F0F8C">
      <w:pPr>
        <w:pStyle w:val="a3"/>
        <w:rPr>
          <w:rFonts w:ascii="Arial" w:hAnsi="Arial"/>
          <w:noProof w:val="0"/>
        </w:rPr>
      </w:pPr>
    </w:p>
    <w:p w:rsidR="003F0F8C" w:rsidRDefault="003F0F8C" w:rsidP="003F0F8C">
      <w:pPr>
        <w:pStyle w:val="a3"/>
        <w:numPr>
          <w:ilvl w:val="0"/>
          <w:numId w:val="1"/>
        </w:numPr>
        <w:spacing w:line="360" w:lineRule="auto"/>
        <w:jc w:val="both"/>
        <w:rPr>
          <w:rFonts w:ascii="Arial" w:hAnsi="Arial"/>
          <w:noProof w:val="0"/>
          <w:rtl/>
        </w:rPr>
      </w:pPr>
      <w:r>
        <w:rPr>
          <w:rFonts w:ascii="Arial" w:hAnsi="Arial"/>
          <w:noProof w:val="0"/>
          <w:rtl/>
        </w:rPr>
        <w:t xml:space="preserve">ביום 29.10.2023 הוגשה תגובת המשיבה ובה התנגדותה לבקשת המבקש בטענה, כי טרם הוסר החשש לביטחונה. </w:t>
      </w:r>
    </w:p>
    <w:p w:rsidR="003F0F8C" w:rsidRDefault="003F0F8C" w:rsidP="003F0F8C">
      <w:pPr>
        <w:pStyle w:val="a3"/>
        <w:rPr>
          <w:rFonts w:ascii="Arial" w:hAnsi="Arial"/>
          <w:noProof w:val="0"/>
        </w:rPr>
      </w:pPr>
    </w:p>
    <w:p w:rsidR="003F0F8C" w:rsidRDefault="003F0F8C" w:rsidP="003F0F8C">
      <w:pPr>
        <w:pStyle w:val="a3"/>
        <w:numPr>
          <w:ilvl w:val="0"/>
          <w:numId w:val="1"/>
        </w:numPr>
        <w:spacing w:line="360" w:lineRule="auto"/>
        <w:jc w:val="both"/>
        <w:rPr>
          <w:rFonts w:ascii="Arial" w:hAnsi="Arial"/>
          <w:noProof w:val="0"/>
          <w:rtl/>
        </w:rPr>
      </w:pPr>
      <w:r>
        <w:rPr>
          <w:rFonts w:ascii="Arial" w:hAnsi="Arial"/>
          <w:noProof w:val="0"/>
          <w:rtl/>
        </w:rPr>
        <w:t>ביום 30.10.2023 ניתנה ההחלטה נושא בקשת רשות הערעור בגדרה נדחתה עתירת המבקש ונקבע בה לאמור</w:t>
      </w:r>
      <w:r>
        <w:rPr>
          <w:rFonts w:ascii="Arial" w:hAnsi="Arial"/>
          <w:b/>
          <w:bCs/>
          <w:noProof w:val="0"/>
          <w:rtl/>
        </w:rPr>
        <w:t>: "משעה שבת הזוג חוששת לחייה ובלא קשר לנושאים האחרים שהעלתה כמו זמני שהות ותשלום מזונות הבקשה לעת הזו נדחית"</w:t>
      </w:r>
      <w:r>
        <w:rPr>
          <w:rFonts w:ascii="Arial" w:hAnsi="Arial"/>
          <w:noProof w:val="0"/>
          <w:rtl/>
        </w:rPr>
        <w:t xml:space="preserve">. </w:t>
      </w:r>
    </w:p>
    <w:p w:rsidR="003F0F8C" w:rsidRDefault="003F0F8C" w:rsidP="003F0F8C">
      <w:pPr>
        <w:pStyle w:val="a3"/>
        <w:rPr>
          <w:rFonts w:ascii="Arial" w:hAnsi="Arial"/>
          <w:noProof w:val="0"/>
        </w:rPr>
      </w:pPr>
    </w:p>
    <w:p w:rsidR="003F0F8C" w:rsidRDefault="003F0F8C" w:rsidP="003F0F8C">
      <w:pPr>
        <w:pStyle w:val="a3"/>
        <w:numPr>
          <w:ilvl w:val="0"/>
          <w:numId w:val="1"/>
        </w:numPr>
        <w:spacing w:line="360" w:lineRule="auto"/>
        <w:jc w:val="both"/>
        <w:rPr>
          <w:rFonts w:ascii="Arial" w:hAnsi="Arial"/>
          <w:noProof w:val="0"/>
          <w:rtl/>
        </w:rPr>
      </w:pPr>
      <w:r>
        <w:rPr>
          <w:rFonts w:ascii="Arial" w:hAnsi="Arial"/>
          <w:noProof w:val="0"/>
          <w:rtl/>
        </w:rPr>
        <w:t xml:space="preserve">המבקש, אשר לא השלים עם ההחלטה, הגיש בקשת רשות הערעור שלפנינו. לאחר שנתבקשה לעשות כן, הגישה המשיבה ביום 22.11.2023 התשובה לבקשה, ומכאן החלטה זו. </w:t>
      </w:r>
    </w:p>
    <w:p w:rsidR="003F0F8C" w:rsidRDefault="003F0F8C" w:rsidP="003F0F8C">
      <w:pPr>
        <w:pStyle w:val="a3"/>
        <w:rPr>
          <w:rFonts w:ascii="Arial" w:hAnsi="Arial"/>
          <w:noProof w:val="0"/>
        </w:rPr>
      </w:pPr>
    </w:p>
    <w:p w:rsidR="003F0F8C" w:rsidRDefault="003F0F8C" w:rsidP="003F0F8C">
      <w:pPr>
        <w:pStyle w:val="a3"/>
        <w:numPr>
          <w:ilvl w:val="0"/>
          <w:numId w:val="1"/>
        </w:numPr>
        <w:spacing w:line="360" w:lineRule="auto"/>
        <w:jc w:val="both"/>
        <w:rPr>
          <w:rFonts w:ascii="Arial" w:hAnsi="Arial"/>
          <w:noProof w:val="0"/>
          <w:rtl/>
        </w:rPr>
      </w:pPr>
      <w:r>
        <w:rPr>
          <w:rFonts w:ascii="Arial" w:hAnsi="Arial"/>
          <w:noProof w:val="0"/>
          <w:rtl/>
        </w:rPr>
        <w:t xml:space="preserve">בבקשה שב המבקש על הטענות שהובאו בפני בית המשפט קמא, ומוסיף, כי עבודתו כרוכה בנסיעות, כי מקום מגוריו סמוך ל..., ומשכך שלילת האפשרות לשאת נשק מעמידה אותו בסכנת חיים ומונעת ממנו גם האפשרות להצטרף לכיתת הכוננות  בעיר מגוריו; כי הוא מעולם לא איים על המשיבה ואף מעולם לא פגע בה; כי זה למעלה מארבע שנים אין כל קשר בינו ובין המשיבה ואף ולא בינו ובין ילדיהם המשותפים, וכי מקומות המגורים מרוחקים מאד זה מזה גאוגרפית; כי מאז ניתן צו ההגנה לא הוגשה ע"י המשיבה שום תלונה נגדו, וגם התלונה שהוגשה עובר להגשת הבקשה לצו הגנה לא הובילה להגשת כתב אישום נגדו והוא נעדר עבר פלילי; כי ההחלטה אינה מידתית וניתנה בלא שטענות הצדדים נבחנו, בהעדר התשתית הראייתית הנדרשת </w:t>
      </w:r>
      <w:proofErr w:type="spellStart"/>
      <w:r>
        <w:rPr>
          <w:rFonts w:ascii="Arial" w:hAnsi="Arial"/>
          <w:noProof w:val="0"/>
          <w:rtl/>
        </w:rPr>
        <w:t>בכגון</w:t>
      </w:r>
      <w:proofErr w:type="spellEnd"/>
      <w:r>
        <w:rPr>
          <w:rFonts w:ascii="Arial" w:hAnsi="Arial"/>
          <w:noProof w:val="0"/>
          <w:rtl/>
        </w:rPr>
        <w:t xml:space="preserve"> דא ובלא שניתן משקל הולם לעובדות הרלוונטיות שנמנו על ידו והובאו בתמצית לעיל.  </w:t>
      </w:r>
    </w:p>
    <w:p w:rsidR="003F0F8C" w:rsidRDefault="003F0F8C" w:rsidP="003F0F8C">
      <w:pPr>
        <w:pStyle w:val="a3"/>
        <w:rPr>
          <w:rFonts w:ascii="Arial" w:hAnsi="Arial"/>
          <w:noProof w:val="0"/>
        </w:rPr>
      </w:pPr>
    </w:p>
    <w:p w:rsidR="003F0F8C" w:rsidRDefault="003F0F8C" w:rsidP="003F0F8C">
      <w:pPr>
        <w:pStyle w:val="a3"/>
        <w:numPr>
          <w:ilvl w:val="0"/>
          <w:numId w:val="1"/>
        </w:numPr>
        <w:spacing w:line="360" w:lineRule="auto"/>
        <w:jc w:val="both"/>
        <w:rPr>
          <w:rFonts w:ascii="Arial" w:hAnsi="Arial"/>
          <w:noProof w:val="0"/>
          <w:rtl/>
        </w:rPr>
      </w:pPr>
      <w:r>
        <w:rPr>
          <w:rFonts w:ascii="Arial" w:hAnsi="Arial"/>
          <w:noProof w:val="0"/>
          <w:rtl/>
        </w:rPr>
        <w:t>המשיבה מצדה טוענת, כי בקשת רשות הערעור רצופה שקרים, וכי אין ממש בטענות המבקש המנסות להציגה באור שלילי לרבות בעניין מצבה הנפשי ואף לא בנימוקים עליהם מבוססת הבקשה; כי המבקש איים עליה פעמים רבות, ולכן ישנו חשש כבד לביטחונה, ופועל יוצא מכך גם לשלום ילדיה ככל שחלילה יאונה לה רע. לתמיכה בטענותיה צרפה המשיבה לתשובתה העתק מפוסט שפורסם ע"י המבקש ברשת החברתית "</w:t>
      </w:r>
      <w:proofErr w:type="spellStart"/>
      <w:r>
        <w:rPr>
          <w:rFonts w:ascii="Arial" w:hAnsi="Arial"/>
          <w:noProof w:val="0"/>
          <w:rtl/>
        </w:rPr>
        <w:t>פייסבוק</w:t>
      </w:r>
      <w:proofErr w:type="spellEnd"/>
      <w:r>
        <w:rPr>
          <w:rFonts w:ascii="Arial" w:hAnsi="Arial"/>
          <w:noProof w:val="0"/>
          <w:rtl/>
        </w:rPr>
        <w:t>". על יסוד האמור ביקשה להותיר ההחלטה על כנה.</w:t>
      </w:r>
    </w:p>
    <w:p w:rsidR="003F0F8C" w:rsidRDefault="003F0F8C" w:rsidP="003F0F8C">
      <w:pPr>
        <w:pStyle w:val="a3"/>
        <w:rPr>
          <w:rFonts w:ascii="Arial" w:hAnsi="Arial"/>
          <w:noProof w:val="0"/>
        </w:rPr>
      </w:pPr>
    </w:p>
    <w:p w:rsidR="003F0F8C" w:rsidRDefault="003F0F8C" w:rsidP="003F0F8C">
      <w:pPr>
        <w:pStyle w:val="a3"/>
        <w:spacing w:line="360" w:lineRule="auto"/>
        <w:ind w:left="360"/>
        <w:jc w:val="both"/>
        <w:rPr>
          <w:rFonts w:ascii="Arial" w:hAnsi="Arial"/>
          <w:b/>
          <w:bCs/>
          <w:noProof w:val="0"/>
          <w:sz w:val="26"/>
          <w:szCs w:val="26"/>
          <w:u w:val="single"/>
          <w:rtl/>
        </w:rPr>
      </w:pPr>
      <w:r>
        <w:rPr>
          <w:rFonts w:ascii="Arial" w:hAnsi="Arial"/>
          <w:b/>
          <w:bCs/>
          <w:noProof w:val="0"/>
          <w:sz w:val="26"/>
          <w:szCs w:val="26"/>
          <w:u w:val="single"/>
          <w:rtl/>
        </w:rPr>
        <w:t xml:space="preserve">הכרעה </w:t>
      </w:r>
    </w:p>
    <w:p w:rsidR="003F0F8C" w:rsidRDefault="003F0F8C" w:rsidP="003F0F8C">
      <w:pPr>
        <w:pStyle w:val="a3"/>
        <w:rPr>
          <w:rFonts w:ascii="Arial" w:hAnsi="Arial"/>
          <w:noProof w:val="0"/>
        </w:rPr>
      </w:pPr>
    </w:p>
    <w:p w:rsidR="003F0F8C" w:rsidRDefault="003F0F8C" w:rsidP="003F0F8C">
      <w:pPr>
        <w:pStyle w:val="a3"/>
        <w:numPr>
          <w:ilvl w:val="0"/>
          <w:numId w:val="1"/>
        </w:numPr>
        <w:spacing w:line="360" w:lineRule="auto"/>
        <w:jc w:val="both"/>
        <w:rPr>
          <w:rFonts w:ascii="Arial" w:hAnsi="Arial"/>
          <w:b/>
          <w:bCs/>
          <w:noProof w:val="0"/>
          <w:rtl/>
        </w:rPr>
      </w:pPr>
      <w:r>
        <w:rPr>
          <w:rFonts w:ascii="Arial" w:hAnsi="Arial"/>
          <w:b/>
          <w:bCs/>
          <w:noProof w:val="0"/>
          <w:rtl/>
        </w:rPr>
        <w:t>לאחר עיון בטענות הצדדים ובתיק המתנהל בבית המשפט קמא ועל יסוד תקנה 138(א)(5) ותקנה 146(א)(3)</w:t>
      </w:r>
      <w:r>
        <w:rPr>
          <w:rFonts w:ascii="Arial" w:hAnsi="Arial"/>
          <w:noProof w:val="0"/>
          <w:rtl/>
        </w:rPr>
        <w:t xml:space="preserve"> </w:t>
      </w:r>
      <w:r>
        <w:rPr>
          <w:rFonts w:ascii="Arial" w:hAnsi="Arial"/>
          <w:b/>
          <w:bCs/>
          <w:noProof w:val="0"/>
          <w:rtl/>
        </w:rPr>
        <w:t xml:space="preserve">לתקנות סדר הדין האזרחי, תשע"ט-2018, מצאתי להורות על ביטול ההחלטה ולהשיב הדיון לבית המשפט קמא על מנת שיקיים דיון בבקשה במעמד הצדדים כמצוות המחוקק – זאת, כמפורט להלן. </w:t>
      </w:r>
    </w:p>
    <w:p w:rsidR="003F0F8C" w:rsidRDefault="003F0F8C" w:rsidP="003F0F8C">
      <w:pPr>
        <w:pStyle w:val="a3"/>
        <w:spacing w:line="360" w:lineRule="auto"/>
        <w:jc w:val="both"/>
        <w:rPr>
          <w:rFonts w:ascii="Arial" w:hAnsi="Arial"/>
          <w:b/>
          <w:bCs/>
          <w:noProof w:val="0"/>
        </w:rPr>
      </w:pPr>
    </w:p>
    <w:p w:rsidR="003F0F8C" w:rsidRDefault="003F0F8C" w:rsidP="003F0F8C">
      <w:pPr>
        <w:pStyle w:val="a3"/>
        <w:spacing w:line="360" w:lineRule="auto"/>
        <w:ind w:left="360"/>
        <w:jc w:val="both"/>
        <w:rPr>
          <w:rFonts w:ascii="David" w:hAnsi="David"/>
          <w:noProof w:val="0"/>
          <w:u w:val="single"/>
        </w:rPr>
      </w:pPr>
      <w:r>
        <w:rPr>
          <w:rFonts w:ascii="David" w:hAnsi="David"/>
          <w:noProof w:val="0"/>
          <w:u w:val="single"/>
          <w:rtl/>
        </w:rPr>
        <w:t>המסגרת הנורמטיבית</w:t>
      </w:r>
    </w:p>
    <w:p w:rsidR="003F0F8C" w:rsidRDefault="003F0F8C" w:rsidP="003F0F8C">
      <w:pPr>
        <w:pStyle w:val="a3"/>
        <w:numPr>
          <w:ilvl w:val="0"/>
          <w:numId w:val="1"/>
        </w:numPr>
        <w:spacing w:line="360" w:lineRule="auto"/>
        <w:jc w:val="both"/>
        <w:rPr>
          <w:rFonts w:ascii="Arial" w:hAnsi="Arial"/>
          <w:noProof w:val="0"/>
        </w:rPr>
      </w:pPr>
      <w:r>
        <w:rPr>
          <w:rFonts w:ascii="Arial" w:hAnsi="Arial"/>
          <w:noProof w:val="0"/>
          <w:rtl/>
        </w:rPr>
        <w:t>בסעיף 2ב לחוק למניעת אלימות במשפחה נקבע לאמור:</w:t>
      </w:r>
    </w:p>
    <w:p w:rsidR="003F0F8C" w:rsidRDefault="003F0F8C" w:rsidP="003F0F8C">
      <w:pPr>
        <w:pStyle w:val="a3"/>
        <w:rPr>
          <w:rFonts w:ascii="Arial" w:hAnsi="Arial"/>
          <w:noProof w:val="0"/>
        </w:rPr>
      </w:pPr>
    </w:p>
    <w:p w:rsidR="003F0F8C" w:rsidRDefault="003F0F8C" w:rsidP="003F0F8C">
      <w:pPr>
        <w:pStyle w:val="a3"/>
        <w:spacing w:line="360" w:lineRule="auto"/>
        <w:jc w:val="both"/>
        <w:rPr>
          <w:rFonts w:ascii="Arial" w:hAnsi="Arial"/>
          <w:b/>
          <w:bCs/>
          <w:noProof w:val="0"/>
          <w:rtl/>
        </w:rPr>
      </w:pPr>
      <w:r>
        <w:rPr>
          <w:rFonts w:ascii="Arial" w:hAnsi="Arial"/>
          <w:b/>
          <w:bCs/>
          <w:noProof w:val="0"/>
          <w:rtl/>
        </w:rPr>
        <w:t xml:space="preserve">"ניתן צו הגנה כאמור בסעיף 2, ייאסר על המחויב בצו להחזיק או לשאת נשק, לרבות נשק שניתן לו מטעם רשות ביטחון או רשות אחרת מרשויות המדינה; בית המשפט יורה, במעמד מתן הצו, על תפיסת נשקו של המחויב בצו, לאלתר". </w:t>
      </w:r>
    </w:p>
    <w:p w:rsidR="003F0F8C" w:rsidRDefault="003F0F8C" w:rsidP="003F0F8C">
      <w:pPr>
        <w:jc w:val="both"/>
        <w:rPr>
          <w:rFonts w:ascii="Arial" w:hAnsi="Arial"/>
          <w:b/>
          <w:bCs/>
          <w:noProof w:val="0"/>
          <w:rtl/>
        </w:rPr>
      </w:pPr>
    </w:p>
    <w:p w:rsidR="003F0F8C" w:rsidRDefault="003F0F8C" w:rsidP="003F0F8C">
      <w:pPr>
        <w:pStyle w:val="a3"/>
        <w:numPr>
          <w:ilvl w:val="0"/>
          <w:numId w:val="1"/>
        </w:numPr>
        <w:spacing w:line="360" w:lineRule="auto"/>
        <w:jc w:val="both"/>
        <w:rPr>
          <w:rFonts w:ascii="Arial" w:hAnsi="Arial"/>
          <w:noProof w:val="0"/>
          <w:rtl/>
        </w:rPr>
      </w:pPr>
      <w:r>
        <w:rPr>
          <w:rFonts w:ascii="Arial" w:hAnsi="Arial"/>
          <w:b/>
          <w:bCs/>
          <w:noProof w:val="0"/>
          <w:rtl/>
        </w:rPr>
        <w:t xml:space="preserve"> </w:t>
      </w:r>
      <w:r>
        <w:rPr>
          <w:rFonts w:ascii="Arial" w:hAnsi="Arial"/>
          <w:noProof w:val="0"/>
          <w:rtl/>
        </w:rPr>
        <w:t>בסעיף 5(ב) לחוק נקבע לאמור:</w:t>
      </w:r>
    </w:p>
    <w:p w:rsidR="003F0F8C" w:rsidRDefault="003F0F8C" w:rsidP="003F0F8C">
      <w:pPr>
        <w:pStyle w:val="a3"/>
        <w:spacing w:line="360" w:lineRule="auto"/>
        <w:jc w:val="both"/>
        <w:rPr>
          <w:rFonts w:ascii="David" w:hAnsi="David"/>
          <w:b/>
          <w:bCs/>
          <w:color w:val="000000"/>
          <w:shd w:val="clear" w:color="auto" w:fill="FFFFFF"/>
        </w:rPr>
      </w:pPr>
      <w:r>
        <w:rPr>
          <w:rFonts w:ascii="David" w:hAnsi="David"/>
          <w:b/>
          <w:bCs/>
          <w:color w:val="000000"/>
          <w:shd w:val="clear" w:color="auto" w:fill="FFFFFF"/>
          <w:rtl/>
        </w:rPr>
        <w:t>"איסור נשיאה והחזקה של נשק כאמור בסעיף 2ב ימשיך לעמוד בתוקפו גם לאחר פקיעת תוקפו של צו ההגנה, כל עוד לא בוטל על ידי בית המשפט לפי בקשת המחויב בצו, ולגבי מי שנמנה עם הכוחות הסדירים או עם כוחות המילואים של צבא הגנה לישראל גם לפי בקשת מפקד יחידה בדרגת סגן אלוף ומעלה; הדיון בבקשה לפי סעיף קטן זה יתקיים במעמד שני הצדדים; לדיון לפי בקשת מפקד יחידה כאמור, יוזמן גם המחויב בצו"</w:t>
      </w:r>
      <w:r>
        <w:rPr>
          <w:rFonts w:ascii="David" w:hAnsi="David"/>
          <w:b/>
          <w:bCs/>
          <w:color w:val="000000"/>
          <w:shd w:val="clear" w:color="auto" w:fill="FFFFFF"/>
        </w:rPr>
        <w:t>.</w:t>
      </w:r>
    </w:p>
    <w:p w:rsidR="003F0F8C" w:rsidRDefault="003F0F8C" w:rsidP="003F0F8C">
      <w:pPr>
        <w:pStyle w:val="a3"/>
        <w:jc w:val="both"/>
        <w:rPr>
          <w:rFonts w:ascii="Arial" w:hAnsi="Arial"/>
          <w:noProof w:val="0"/>
          <w:rtl/>
        </w:rPr>
      </w:pPr>
    </w:p>
    <w:p w:rsidR="003F0F8C" w:rsidRDefault="003F0F8C" w:rsidP="003F0F8C">
      <w:pPr>
        <w:pStyle w:val="a3"/>
        <w:numPr>
          <w:ilvl w:val="0"/>
          <w:numId w:val="1"/>
        </w:numPr>
        <w:spacing w:line="360" w:lineRule="auto"/>
        <w:jc w:val="both"/>
        <w:rPr>
          <w:rFonts w:ascii="Arial" w:hAnsi="Arial"/>
          <w:noProof w:val="0"/>
        </w:rPr>
      </w:pPr>
      <w:r>
        <w:rPr>
          <w:rFonts w:ascii="Arial" w:hAnsi="Arial"/>
          <w:noProof w:val="0"/>
          <w:rtl/>
        </w:rPr>
        <w:t xml:space="preserve">עינינו הרואות, כי המחוקק מורנו, שגם לאחר פקיעת תקפו של צו הגנה אשר ניתן מכוח החוק למניעת אלימות במשפחה, האיסור שהוטל על בן המשפחה כנגדו ניתן הצו לשאת נשק ולהחזיק בו ממשיך לחול כל עוד לא בוטל ע"י בית המשפט. </w:t>
      </w:r>
    </w:p>
    <w:p w:rsidR="003F0F8C" w:rsidRDefault="003F0F8C" w:rsidP="003F0F8C">
      <w:pPr>
        <w:pStyle w:val="a3"/>
        <w:spacing w:line="360" w:lineRule="auto"/>
        <w:jc w:val="both"/>
        <w:rPr>
          <w:rFonts w:ascii="Arial" w:hAnsi="Arial"/>
          <w:noProof w:val="0"/>
        </w:rPr>
      </w:pPr>
      <w:r>
        <w:rPr>
          <w:rFonts w:ascii="Arial" w:hAnsi="Arial"/>
          <w:noProof w:val="0"/>
          <w:rtl/>
        </w:rPr>
        <w:t xml:space="preserve">עוד מורנו המחוקק, כי ההכרעה בבקשה לביטול האיסור האמור, טעונה קיומו של דיון במעמד הצדדים. </w:t>
      </w:r>
    </w:p>
    <w:p w:rsidR="003F0F8C" w:rsidRDefault="003F0F8C" w:rsidP="003F0F8C">
      <w:pPr>
        <w:jc w:val="both"/>
        <w:rPr>
          <w:rFonts w:ascii="Arial" w:hAnsi="Arial"/>
          <w:noProof w:val="0"/>
          <w:rtl/>
        </w:rPr>
      </w:pPr>
    </w:p>
    <w:p w:rsidR="003F0F8C" w:rsidRDefault="003F0F8C" w:rsidP="003F0F8C">
      <w:pPr>
        <w:pStyle w:val="a3"/>
        <w:numPr>
          <w:ilvl w:val="0"/>
          <w:numId w:val="1"/>
        </w:numPr>
        <w:spacing w:line="360" w:lineRule="auto"/>
        <w:jc w:val="both"/>
        <w:rPr>
          <w:rFonts w:ascii="Arial" w:hAnsi="Arial"/>
          <w:noProof w:val="0"/>
        </w:rPr>
      </w:pPr>
      <w:r>
        <w:rPr>
          <w:rFonts w:ascii="Arial" w:hAnsi="Arial"/>
          <w:noProof w:val="0"/>
          <w:rtl/>
        </w:rPr>
        <w:t xml:space="preserve">להשלמת התמונה ולהבהרת המסגרת הנורמטיבית יצוין, כי ביום 30.11.2000 נכנס לתוקף תיקון מס' 5 לחוק למניעת אלימות במשפחה, שעניינו הטלת איסור נשיאת נשק (ס"ח 1759, עמ' 24). בגדר התיקון נקבע, בין היתר, כי האיסור על החזקת נשק או נשיאתו יהיו חלק </w:t>
      </w:r>
      <w:r>
        <w:rPr>
          <w:rFonts w:ascii="Arial" w:hAnsi="Arial"/>
          <w:noProof w:val="0"/>
          <w:rtl/>
        </w:rPr>
        <w:lastRenderedPageBreak/>
        <w:t>אינטגרלי מכל צו הגנה שיינתן ע"י בית המשפט, גם אם הוא לא הורה על כך מפורשות; כן נקבע, כי איסור זה יעמוד בתקפו, על אף פקיעת צו ההגנה, עד שיגיש המחויב בצו בקשה נפרדת לביטול האיסור, ובקשה זו תידון במעמד שני הצדדים.</w:t>
      </w:r>
    </w:p>
    <w:p w:rsidR="003F0F8C" w:rsidRDefault="003F0F8C" w:rsidP="003F0F8C">
      <w:pPr>
        <w:pStyle w:val="a3"/>
        <w:spacing w:line="360" w:lineRule="auto"/>
        <w:jc w:val="both"/>
        <w:rPr>
          <w:rFonts w:ascii="Arial" w:hAnsi="Arial"/>
          <w:noProof w:val="0"/>
        </w:rPr>
      </w:pPr>
    </w:p>
    <w:p w:rsidR="003F0F8C" w:rsidRDefault="003F0F8C" w:rsidP="003F0F8C">
      <w:pPr>
        <w:pStyle w:val="a3"/>
        <w:spacing w:line="360" w:lineRule="auto"/>
        <w:jc w:val="both"/>
        <w:rPr>
          <w:rFonts w:ascii="Arial" w:hAnsi="Arial"/>
          <w:noProof w:val="0"/>
          <w:rtl/>
        </w:rPr>
      </w:pPr>
      <w:r>
        <w:rPr>
          <w:rFonts w:ascii="Arial" w:hAnsi="Arial"/>
          <w:noProof w:val="0"/>
          <w:rtl/>
        </w:rPr>
        <w:t>בדברי ההסבר להצעת החוק (</w:t>
      </w:r>
      <w:proofErr w:type="spellStart"/>
      <w:r>
        <w:rPr>
          <w:rFonts w:ascii="Arial" w:hAnsi="Arial"/>
          <w:noProof w:val="0"/>
          <w:rtl/>
        </w:rPr>
        <w:t>ה"ח</w:t>
      </w:r>
      <w:proofErr w:type="spellEnd"/>
      <w:r>
        <w:rPr>
          <w:rFonts w:ascii="Arial" w:hAnsi="Arial"/>
          <w:noProof w:val="0"/>
          <w:rtl/>
        </w:rPr>
        <w:t xml:space="preserve"> 2870 מיום 28.03.2000, עמ' 366) נכתב, בין השאר, כי מקרי הרצח ההולכים ומתרבים של נשים בידי בני זוגן ותופעת האלימות במשפחה בכלל הביאו את המחוקק לחוקק את החוק העיקרי, שתכליתו מתן מענה מיידי לאיום המרחף על ראשה של אישה ובני משפחתה, ברם לטענת יוזמי התיקון, שעה שמקרי הרצח האחרונים של נשים בידי בני זוגן, עובר להצעה לתיקון החוק הוכיחו בעליל, כי אין די בכך, וכי במקרים לא מעטים בהם אכן נעשה שימוש בסמכות לשלול הרשות להחזיק בנשק, בסופו של דבר הוסר האיסור, הנשק הוחזר לבן הזוג האלים או המאיים, למרות התלונות שהצטברו נגדו, הוא עשה שימוש בנשק שהושב לו למטרותיו הרצחניות.   </w:t>
      </w:r>
    </w:p>
    <w:p w:rsidR="003F0F8C" w:rsidRDefault="003F0F8C" w:rsidP="003F0F8C">
      <w:pPr>
        <w:pStyle w:val="a3"/>
        <w:spacing w:line="360" w:lineRule="auto"/>
        <w:jc w:val="both"/>
        <w:rPr>
          <w:rFonts w:ascii="Arial" w:hAnsi="Arial"/>
          <w:noProof w:val="0"/>
          <w:rtl/>
        </w:rPr>
      </w:pPr>
      <w:r>
        <w:rPr>
          <w:rFonts w:ascii="Arial" w:hAnsi="Arial"/>
          <w:noProof w:val="0"/>
          <w:rtl/>
        </w:rPr>
        <w:t xml:space="preserve">כאמור, הצעת החוק נתקבלה ולפני כ-23 שנים נכנס לתוקף תיקון מס' 5 לחוק.     </w:t>
      </w:r>
    </w:p>
    <w:p w:rsidR="003F0F8C" w:rsidRDefault="003F0F8C" w:rsidP="003F0F8C">
      <w:pPr>
        <w:pStyle w:val="a3"/>
        <w:spacing w:line="360" w:lineRule="auto"/>
        <w:jc w:val="both"/>
        <w:rPr>
          <w:rFonts w:ascii="Arial" w:hAnsi="Arial"/>
          <w:noProof w:val="0"/>
        </w:rPr>
      </w:pPr>
      <w:r>
        <w:rPr>
          <w:rFonts w:ascii="Arial" w:hAnsi="Arial"/>
          <w:noProof w:val="0"/>
          <w:rtl/>
        </w:rPr>
        <w:t xml:space="preserve"> </w:t>
      </w:r>
    </w:p>
    <w:p w:rsidR="003F0F8C" w:rsidRDefault="003F0F8C" w:rsidP="003F0F8C">
      <w:pPr>
        <w:pStyle w:val="a3"/>
        <w:numPr>
          <w:ilvl w:val="0"/>
          <w:numId w:val="1"/>
        </w:numPr>
        <w:spacing w:line="360" w:lineRule="auto"/>
        <w:jc w:val="both"/>
        <w:rPr>
          <w:rFonts w:ascii="Arial" w:hAnsi="Arial"/>
          <w:noProof w:val="0"/>
        </w:rPr>
      </w:pPr>
      <w:r>
        <w:rPr>
          <w:rFonts w:ascii="Arial" w:hAnsi="Arial"/>
          <w:noProof w:val="0"/>
          <w:rtl/>
        </w:rPr>
        <w:t xml:space="preserve">הדברים האחרונים הובאו כרקע בלבד להוראות הדין הרלוונטיות לענייננו, ואין בהם משום הבעת עמדה בעניין סיכויי בקשת המבקש לביטול האיסור על נשיאת נשק. לפיכך, מבלי להביע כל עמדה, מבלי לטעת מסמרות ומבלי להתערב בשיקול הדעת של הערכאה הדיונית, שעה שהדיון בבקשה לא התקיים בהתאם לפרוצדורה הקבועה בדין, הרי שיש להשיבו לבית המשפט קמא על מנת שיזמן הצדדים לדיון ולאחריו יכריע בבקשה כחכמתו. </w:t>
      </w:r>
    </w:p>
    <w:p w:rsidR="003F0F8C" w:rsidRDefault="003F0F8C" w:rsidP="003F0F8C">
      <w:pPr>
        <w:pStyle w:val="a3"/>
        <w:spacing w:line="360" w:lineRule="auto"/>
        <w:jc w:val="both"/>
        <w:rPr>
          <w:rFonts w:ascii="Arial" w:hAnsi="Arial"/>
          <w:noProof w:val="0"/>
        </w:rPr>
      </w:pPr>
      <w:r>
        <w:rPr>
          <w:rFonts w:ascii="Arial" w:hAnsi="Arial"/>
          <w:noProof w:val="0"/>
          <w:rtl/>
        </w:rPr>
        <w:t xml:space="preserve"> </w:t>
      </w:r>
    </w:p>
    <w:p w:rsidR="003F0F8C" w:rsidRDefault="003F0F8C" w:rsidP="003F0F8C">
      <w:pPr>
        <w:pStyle w:val="a3"/>
        <w:numPr>
          <w:ilvl w:val="0"/>
          <w:numId w:val="1"/>
        </w:numPr>
        <w:spacing w:line="360" w:lineRule="auto"/>
        <w:jc w:val="both"/>
        <w:rPr>
          <w:rFonts w:ascii="Arial" w:hAnsi="Arial"/>
          <w:noProof w:val="0"/>
        </w:rPr>
      </w:pPr>
      <w:r>
        <w:rPr>
          <w:rFonts w:ascii="Arial" w:hAnsi="Arial"/>
          <w:noProof w:val="0"/>
          <w:rtl/>
        </w:rPr>
        <w:t xml:space="preserve">למעלה מן הצורך יובהר, כי הגם שלבית המשפט לענייני משפחה סמכות לקבל או לדחות בקשה להשבת ההיתר לשאת ולהחזיק נשק מכוח החוק למניעת אלימות במשפחה, עדיין מסור שיקול הדעת בעניין זה לרשות המוסמכת לכך מכוח חוק כלי </w:t>
      </w:r>
      <w:proofErr w:type="spellStart"/>
      <w:r>
        <w:rPr>
          <w:rFonts w:ascii="Arial" w:hAnsi="Arial"/>
          <w:noProof w:val="0"/>
          <w:rtl/>
        </w:rPr>
        <w:t>היריה</w:t>
      </w:r>
      <w:proofErr w:type="spellEnd"/>
      <w:r>
        <w:rPr>
          <w:rFonts w:ascii="Arial" w:hAnsi="Arial"/>
          <w:noProof w:val="0"/>
          <w:rtl/>
        </w:rPr>
        <w:t xml:space="preserve">, תש"ט-1949 הכפופה, אמנם  לכללי המשפט המנהלי ולביקורת שיפוטית, אך מדובר בשני רבדים שונים, שכן המחלוקת בין הצדדים מצויה ברובד הפנימי, ואילו מערכת היחסים בין המבקש ובין הרשות המוסמכת היא ברובד החיצוני וגם אם לצורך בחינת הבקשה השיקולים בכל אחד מן הרבדים דומים, אין הם בהכרח זהים או חופפים באופן מלא. </w:t>
      </w:r>
    </w:p>
    <w:p w:rsidR="003F0F8C" w:rsidRDefault="003F0F8C" w:rsidP="003F0F8C">
      <w:pPr>
        <w:pStyle w:val="a3"/>
        <w:rPr>
          <w:rFonts w:ascii="Arial" w:hAnsi="Arial"/>
          <w:noProof w:val="0"/>
        </w:rPr>
      </w:pPr>
    </w:p>
    <w:p w:rsidR="003F0F8C" w:rsidRDefault="003F0F8C" w:rsidP="003F0F8C">
      <w:pPr>
        <w:pStyle w:val="a3"/>
        <w:numPr>
          <w:ilvl w:val="0"/>
          <w:numId w:val="1"/>
        </w:numPr>
        <w:spacing w:line="360" w:lineRule="auto"/>
        <w:jc w:val="both"/>
        <w:rPr>
          <w:rFonts w:ascii="Arial" w:hAnsi="Arial"/>
          <w:noProof w:val="0"/>
          <w:rtl/>
        </w:rPr>
      </w:pPr>
      <w:r>
        <w:rPr>
          <w:rFonts w:ascii="Arial" w:hAnsi="Arial"/>
          <w:noProof w:val="0"/>
          <w:rtl/>
        </w:rPr>
        <w:t xml:space="preserve">על יסוד האמור,  החלטת בית המשפט מבוטלת וההליך יוחזר לבית המשפט קמא לצורך קיום דיון בבקשה במעמד הצדדים והכרעה בה בהתאם לשיקול דעתו. </w:t>
      </w:r>
    </w:p>
    <w:p w:rsidR="003F0F8C" w:rsidRDefault="003F0F8C" w:rsidP="003F0F8C">
      <w:pPr>
        <w:pStyle w:val="a3"/>
        <w:rPr>
          <w:rFonts w:ascii="Arial" w:hAnsi="Arial"/>
          <w:noProof w:val="0"/>
        </w:rPr>
      </w:pPr>
    </w:p>
    <w:p w:rsidR="003F0F8C" w:rsidRDefault="003F0F8C" w:rsidP="003F0F8C">
      <w:pPr>
        <w:pStyle w:val="a3"/>
        <w:numPr>
          <w:ilvl w:val="0"/>
          <w:numId w:val="1"/>
        </w:numPr>
        <w:spacing w:line="360" w:lineRule="auto"/>
        <w:jc w:val="both"/>
        <w:rPr>
          <w:rFonts w:ascii="Arial" w:hAnsi="Arial"/>
          <w:noProof w:val="0"/>
          <w:rtl/>
        </w:rPr>
      </w:pPr>
      <w:r>
        <w:rPr>
          <w:rFonts w:ascii="Arial" w:hAnsi="Arial"/>
          <w:noProof w:val="0"/>
          <w:rtl/>
        </w:rPr>
        <w:t xml:space="preserve">נוכח התוצאה אליה הגעתי, איני עושה צו להוצאות וכל צד יישא בהוצאותיו. </w:t>
      </w:r>
    </w:p>
    <w:p w:rsidR="003F0F8C" w:rsidRDefault="003F0F8C" w:rsidP="003F0F8C">
      <w:pPr>
        <w:pStyle w:val="a3"/>
        <w:rPr>
          <w:rFonts w:ascii="Arial" w:hAnsi="Arial"/>
          <w:noProof w:val="0"/>
        </w:rPr>
      </w:pPr>
    </w:p>
    <w:p w:rsidR="003F0F8C" w:rsidRDefault="003F0F8C" w:rsidP="003F0F8C">
      <w:pPr>
        <w:pStyle w:val="a3"/>
        <w:numPr>
          <w:ilvl w:val="0"/>
          <w:numId w:val="1"/>
        </w:numPr>
        <w:spacing w:line="360" w:lineRule="auto"/>
        <w:jc w:val="both"/>
        <w:rPr>
          <w:rFonts w:ascii="Arial" w:hAnsi="Arial"/>
          <w:noProof w:val="0"/>
        </w:rPr>
      </w:pPr>
      <w:r>
        <w:rPr>
          <w:rFonts w:ascii="Arial" w:hAnsi="Arial"/>
          <w:noProof w:val="0"/>
          <w:rtl/>
        </w:rPr>
        <w:t>המזכירות תמציא ההחלטה לצדדים ותסגור התיק.</w:t>
      </w:r>
    </w:p>
    <w:p w:rsidR="003F0F8C" w:rsidRPr="003F0F8C" w:rsidRDefault="003F0F8C" w:rsidP="003F0F8C">
      <w:pPr>
        <w:pStyle w:val="a3"/>
        <w:rPr>
          <w:rFonts w:ascii="Arial" w:hAnsi="Arial"/>
          <w:noProof w:val="0"/>
          <w:rtl/>
        </w:rPr>
      </w:pPr>
    </w:p>
    <w:p w:rsidR="003F0F8C" w:rsidRDefault="003F0F8C" w:rsidP="003F0F8C">
      <w:pPr>
        <w:pStyle w:val="a3"/>
        <w:spacing w:line="360" w:lineRule="auto"/>
        <w:jc w:val="both"/>
        <w:rPr>
          <w:rFonts w:ascii="Arial" w:hAnsi="Arial"/>
          <w:noProof w:val="0"/>
          <w:rtl/>
        </w:rPr>
      </w:pPr>
    </w:p>
    <w:p w:rsidR="003F0F8C" w:rsidRDefault="003F0F8C" w:rsidP="003F0F8C">
      <w:pPr>
        <w:pStyle w:val="a3"/>
        <w:rPr>
          <w:rFonts w:ascii="Arial" w:hAnsi="Arial"/>
          <w:noProof w:val="0"/>
        </w:rPr>
      </w:pPr>
    </w:p>
    <w:p w:rsidR="003F0F8C" w:rsidRDefault="003F0F8C" w:rsidP="003F0F8C">
      <w:pPr>
        <w:numPr>
          <w:ilvl w:val="0"/>
          <w:numId w:val="1"/>
        </w:numPr>
        <w:spacing w:after="160" w:line="360" w:lineRule="auto"/>
        <w:contextualSpacing/>
        <w:jc w:val="both"/>
        <w:rPr>
          <w:rFonts w:ascii="Arial" w:hAnsi="Arial"/>
          <w:noProof w:val="0"/>
        </w:rPr>
      </w:pPr>
      <w:r>
        <w:rPr>
          <w:rFonts w:ascii="David" w:eastAsia="Calibri" w:hAnsi="David"/>
          <w:noProof w:val="0"/>
          <w:rtl/>
        </w:rPr>
        <w:lastRenderedPageBreak/>
        <w:t xml:space="preserve">ההחלטה ניתנת לפרסום תוך השמטת שמות הצדדים ופרטים מזהים נוספים. </w:t>
      </w:r>
    </w:p>
    <w:p w:rsidR="003F0F8C" w:rsidRDefault="003F0F8C" w:rsidP="003F0F8C">
      <w:pPr>
        <w:spacing w:after="160" w:line="360" w:lineRule="auto"/>
        <w:contextualSpacing/>
        <w:jc w:val="both"/>
        <w:rPr>
          <w:rFonts w:ascii="Arial" w:hAnsi="Arial"/>
          <w:noProof w:val="0"/>
          <w:rtl/>
        </w:rPr>
      </w:pPr>
    </w:p>
    <w:p w:rsidR="003F0F8C" w:rsidRDefault="003F0F8C" w:rsidP="003F0F8C">
      <w:pPr>
        <w:spacing w:after="160" w:line="360" w:lineRule="auto"/>
        <w:contextualSpacing/>
        <w:jc w:val="both"/>
        <w:rPr>
          <w:rFonts w:ascii="Arial" w:hAnsi="Arial"/>
          <w:noProof w:val="0"/>
          <w:rtl/>
        </w:rPr>
      </w:pPr>
    </w:p>
    <w:p w:rsidR="003F0F8C" w:rsidRDefault="003F0F8C" w:rsidP="003F0F8C">
      <w:pPr>
        <w:spacing w:after="160" w:line="360" w:lineRule="auto"/>
        <w:contextualSpacing/>
        <w:jc w:val="both"/>
        <w:rPr>
          <w:rFonts w:ascii="Arial" w:hAnsi="Arial"/>
          <w:noProof w:val="0"/>
          <w:rtl/>
        </w:rPr>
      </w:pPr>
    </w:p>
    <w:p w:rsidR="003F0F8C" w:rsidRDefault="003F0F8C" w:rsidP="003F0F8C">
      <w:pPr>
        <w:spacing w:after="160" w:line="360" w:lineRule="auto"/>
        <w:contextualSpacing/>
        <w:jc w:val="both"/>
        <w:rPr>
          <w:rFonts w:ascii="Arial" w:hAnsi="Arial"/>
          <w:noProof w:val="0"/>
          <w:rtl/>
        </w:rPr>
      </w:pPr>
    </w:p>
    <w:p w:rsidR="003F0F8C" w:rsidRDefault="003F0F8C" w:rsidP="003F0F8C">
      <w:pPr>
        <w:spacing w:after="160" w:line="360" w:lineRule="auto"/>
        <w:contextualSpacing/>
        <w:jc w:val="both"/>
        <w:rPr>
          <w:rFonts w:ascii="Arial" w:hAnsi="Arial"/>
          <w:noProof w:val="0"/>
          <w:rtl/>
        </w:rPr>
      </w:pPr>
    </w:p>
    <w:p w:rsidR="003F0F8C" w:rsidRDefault="003F0F8C" w:rsidP="003F0F8C">
      <w:pPr>
        <w:spacing w:line="360" w:lineRule="auto"/>
        <w:jc w:val="both"/>
        <w:rPr>
          <w:rFonts w:ascii="Arial" w:hAnsi="Arial"/>
          <w:noProof w:val="0"/>
          <w:rtl/>
        </w:rPr>
      </w:pPr>
      <w:r>
        <w:rPr>
          <w:rFonts w:ascii="Arial" w:hAnsi="Arial"/>
          <w:noProof w:val="0"/>
          <w:rtl/>
        </w:rPr>
        <w:t xml:space="preserve">ניתנה היום, </w:t>
      </w:r>
      <w:sdt>
        <w:sdtPr>
          <w:rPr>
            <w:rtl/>
          </w:rPr>
          <w:alias w:val="1455"/>
          <w:tag w:val="1455"/>
          <w:id w:val="1666048407"/>
          <w:text w:multiLine="1"/>
        </w:sdtPr>
        <w:sdtEndPr/>
        <w:sdtContent>
          <w:r>
            <w:rPr>
              <w:rFonts w:ascii="Arial" w:hAnsi="Arial"/>
              <w:noProof w:val="0"/>
              <w:rtl/>
            </w:rPr>
            <w:t>י"ג כסלו תשפ"ד</w:t>
          </w:r>
        </w:sdtContent>
      </w:sdt>
      <w:r>
        <w:rPr>
          <w:rFonts w:ascii="Arial" w:hAnsi="Arial"/>
          <w:noProof w:val="0"/>
          <w:rtl/>
        </w:rPr>
        <w:t xml:space="preserve">, </w:t>
      </w:r>
      <w:sdt>
        <w:sdtPr>
          <w:rPr>
            <w:rtl/>
          </w:rPr>
          <w:alias w:val="1456"/>
          <w:tag w:val="1456"/>
          <w:id w:val="-1186288958"/>
          <w:text w:multiLine="1"/>
        </w:sdtPr>
        <w:sdtEndPr/>
        <w:sdtContent>
          <w:r>
            <w:rPr>
              <w:rFonts w:ascii="Arial" w:hAnsi="Arial"/>
              <w:noProof w:val="0"/>
              <w:rtl/>
            </w:rPr>
            <w:t>26 נובמבר 2023</w:t>
          </w:r>
        </w:sdtContent>
      </w:sdt>
      <w:r>
        <w:rPr>
          <w:rFonts w:ascii="Arial" w:hAnsi="Arial"/>
          <w:noProof w:val="0"/>
          <w:rtl/>
        </w:rPr>
        <w:t>, בהעדר הצדדים.</w:t>
      </w:r>
    </w:p>
    <w:p w:rsidR="003F0F8C" w:rsidRDefault="003F0F8C" w:rsidP="003F0F8C">
      <w:pPr>
        <w:tabs>
          <w:tab w:val="left" w:pos="2553"/>
        </w:tabs>
        <w:rPr>
          <w:rtl/>
        </w:rPr>
      </w:pPr>
      <w:r>
        <w:rPr>
          <w:rtl/>
        </w:rPr>
        <w:tab/>
      </w:r>
      <w:r>
        <w:rPr>
          <w:rtl/>
        </w:rPr>
        <w:tab/>
      </w:r>
      <w:r>
        <w:rPr>
          <w:rtl/>
        </w:rPr>
        <w:tab/>
      </w:r>
      <w:r>
        <w:rPr>
          <w:rtl/>
        </w:rPr>
        <w:tab/>
        <w:t xml:space="preserve">        </w:t>
      </w:r>
      <w:sdt>
        <w:sdtPr>
          <w:rPr>
            <w:rtl/>
          </w:rPr>
          <w:alias w:val="MergeField"/>
          <w:tag w:val="1237"/>
          <w:id w:val="163439157"/>
        </w:sdtPr>
        <w:sdtEndPr/>
        <w:sdtContent>
          <w:r>
            <w:drawing>
              <wp:inline distT="0" distB="0" distL="0" distR="0">
                <wp:extent cx="1666875" cy="1047750"/>
                <wp:effectExtent l="0" t="0" r="9525" b="0"/>
                <wp:docPr id="1" name="תמונה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666875" cy="1047750"/>
                        </a:xfrm>
                        <a:prstGeom prst="rect">
                          <a:avLst/>
                        </a:prstGeom>
                        <a:noFill/>
                        <a:ln>
                          <a:noFill/>
                        </a:ln>
                      </pic:spPr>
                    </pic:pic>
                  </a:graphicData>
                </a:graphic>
              </wp:inline>
            </w:drawing>
          </w:r>
        </w:sdtContent>
      </w:sdt>
    </w:p>
    <w:p w:rsidR="003F0F8C" w:rsidRDefault="003F0F8C" w:rsidP="003F0F8C">
      <w:pPr>
        <w:tabs>
          <w:tab w:val="left" w:pos="2553"/>
        </w:tabs>
        <w:rPr>
          <w:rFonts w:ascii="Arial" w:hAnsi="Arial"/>
          <w:noProof w:val="0"/>
        </w:rPr>
      </w:pPr>
    </w:p>
    <w:p w:rsidR="00AE10BA" w:rsidRDefault="00AE10BA"/>
    <w:sectPr w:rsidR="00AE10BA" w:rsidSect="00897C85">
      <w:headerReference w:type="default" r:id="rId8"/>
      <w:pgSz w:w="11906" w:h="16838"/>
      <w:pgMar w:top="1440" w:right="1800" w:bottom="1440" w:left="1800" w:header="708" w:footer="708"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E3D1D" w:rsidRDefault="009E3D1D" w:rsidP="003F0F8C">
      <w:r>
        <w:separator/>
      </w:r>
    </w:p>
  </w:endnote>
  <w:endnote w:type="continuationSeparator" w:id="0">
    <w:p w:rsidR="009E3D1D" w:rsidRDefault="009E3D1D" w:rsidP="003F0F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E3D1D" w:rsidRDefault="009E3D1D" w:rsidP="003F0F8C">
      <w:r>
        <w:separator/>
      </w:r>
    </w:p>
  </w:footnote>
  <w:footnote w:type="continuationSeparator" w:id="0">
    <w:p w:rsidR="009E3D1D" w:rsidRDefault="009E3D1D" w:rsidP="003F0F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F0F8C" w:rsidRDefault="003F0F8C" w:rsidP="003F0F8C">
    <w:pPr>
      <w:pStyle w:val="a5"/>
      <w:tabs>
        <w:tab w:val="left" w:pos="5141"/>
      </w:tabs>
    </w:pPr>
    <w:r>
      <w:tab/>
    </w:r>
    <w:r>
      <w:drawing>
        <wp:inline distT="0" distB="0" distL="0" distR="0" wp14:anchorId="3887B8FD" wp14:editId="63F69AC8">
          <wp:extent cx="374015" cy="469265"/>
          <wp:effectExtent l="0" t="0" r="6985" b="6985"/>
          <wp:docPr id="2" name="Picture 1" descr="ישראל - המנורה - 2"/>
          <wp:cNvGraphicFramePr/>
          <a:graphic xmlns:a="http://schemas.openxmlformats.org/drawingml/2006/main">
            <a:graphicData uri="http://schemas.openxmlformats.org/drawingml/2006/picture">
              <pic:pic xmlns:pic="http://schemas.openxmlformats.org/drawingml/2006/picture">
                <pic:nvPicPr>
                  <pic:cNvPr id="2" name="Picture 1" descr="ישראל - המנורה - 2"/>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r>
      <w:tab/>
    </w:r>
  </w:p>
  <w:p w:rsidR="003F0F8C" w:rsidRDefault="003F0F8C" w:rsidP="003F0F8C">
    <w:pPr>
      <w:pStyle w:val="a5"/>
      <w:tabs>
        <w:tab w:val="left" w:pos="5141"/>
      </w:tabs>
    </w:pPr>
  </w:p>
  <w:p w:rsidR="003F0F8C" w:rsidRDefault="003F0F8C" w:rsidP="003F0F8C">
    <w:pPr>
      <w:pStyle w:val="a5"/>
      <w:tabs>
        <w:tab w:val="left" w:pos="5141"/>
      </w:tabs>
      <w:jc w:val="center"/>
    </w:pPr>
    <w:r>
      <w:rPr>
        <w:rFonts w:ascii="Tahoma" w:hAnsi="Tahoma"/>
        <w:color w:val="000080"/>
        <w:sz w:val="32"/>
        <w:szCs w:val="32"/>
        <w:rtl/>
      </w:rPr>
      <w:t>בית המשפט המחוזי בבאר שבע</w:t>
    </w:r>
  </w:p>
  <w:p w:rsidR="003F0F8C" w:rsidRPr="003F0F8C" w:rsidRDefault="003F0F8C" w:rsidP="003F0F8C">
    <w:pPr>
      <w:pStyle w:val="a5"/>
      <w:tabs>
        <w:tab w:val="left" w:pos="5141"/>
      </w:tabs>
      <w:rPr>
        <w:rtl/>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E244956"/>
    <w:multiLevelType w:val="hybridMultilevel"/>
    <w:tmpl w:val="E26CE158"/>
    <w:lvl w:ilvl="0" w:tplc="A3FEE510">
      <w:start w:val="1"/>
      <w:numFmt w:val="decimal"/>
      <w:lvlText w:val="%1."/>
      <w:lvlJc w:val="left"/>
      <w:pPr>
        <w:ind w:left="720" w:hanging="36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0F8C"/>
    <w:rsid w:val="003F0F8C"/>
    <w:rsid w:val="00733145"/>
    <w:rsid w:val="00897C85"/>
    <w:rsid w:val="009E3D1D"/>
    <w:rsid w:val="00AE10BA"/>
    <w:rsid w:val="00F8057B"/>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F280908-3788-48A7-8051-AC071C95AB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F0F8C"/>
    <w:pPr>
      <w:bidi/>
      <w:spacing w:after="0" w:line="240" w:lineRule="auto"/>
    </w:pPr>
    <w:rPr>
      <w:rFonts w:ascii="Times New Roman" w:eastAsia="Times New Roman" w:hAnsi="Times New Roman" w:cs="David"/>
      <w:noProo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F0F8C"/>
    <w:pPr>
      <w:ind w:left="720"/>
      <w:contextualSpacing/>
    </w:pPr>
  </w:style>
  <w:style w:type="table" w:styleId="a4">
    <w:name w:val="Table Grid"/>
    <w:basedOn w:val="a1"/>
    <w:rsid w:val="003F0F8C"/>
    <w:pPr>
      <w:spacing w:after="0" w:line="240" w:lineRule="auto"/>
      <w:jc w:val="right"/>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3F0F8C"/>
    <w:pPr>
      <w:tabs>
        <w:tab w:val="center" w:pos="4153"/>
        <w:tab w:val="right" w:pos="8306"/>
      </w:tabs>
    </w:pPr>
  </w:style>
  <w:style w:type="character" w:customStyle="1" w:styleId="a6">
    <w:name w:val="כותרת עליונה תו"/>
    <w:basedOn w:val="a0"/>
    <w:link w:val="a5"/>
    <w:uiPriority w:val="99"/>
    <w:rsid w:val="003F0F8C"/>
    <w:rPr>
      <w:rFonts w:ascii="Times New Roman" w:eastAsia="Times New Roman" w:hAnsi="Times New Roman" w:cs="David"/>
      <w:noProof/>
      <w:sz w:val="24"/>
      <w:szCs w:val="24"/>
    </w:rPr>
  </w:style>
  <w:style w:type="paragraph" w:styleId="a7">
    <w:name w:val="footer"/>
    <w:basedOn w:val="a"/>
    <w:link w:val="a8"/>
    <w:uiPriority w:val="99"/>
    <w:unhideWhenUsed/>
    <w:rsid w:val="003F0F8C"/>
    <w:pPr>
      <w:tabs>
        <w:tab w:val="center" w:pos="4153"/>
        <w:tab w:val="right" w:pos="8306"/>
      </w:tabs>
    </w:pPr>
  </w:style>
  <w:style w:type="character" w:customStyle="1" w:styleId="a8">
    <w:name w:val="כותרת תחתונה תו"/>
    <w:basedOn w:val="a0"/>
    <w:link w:val="a7"/>
    <w:uiPriority w:val="99"/>
    <w:rsid w:val="003F0F8C"/>
    <w:rPr>
      <w:rFonts w:ascii="Times New Roman" w:eastAsia="Times New Roman" w:hAnsi="Times New Roman" w:cs="David"/>
      <w:noProo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13145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19043C12E1C146CABEC7AD0F7E4EC858"/>
        <w:category>
          <w:name w:val="כללי"/>
          <w:gallery w:val="placeholder"/>
        </w:category>
        <w:types>
          <w:type w:val="bbPlcHdr"/>
        </w:types>
        <w:behaviors>
          <w:behavior w:val="content"/>
        </w:behaviors>
        <w:guid w:val="{9A77D99D-DC03-435A-9F23-1FB63B192773}"/>
      </w:docPartPr>
      <w:docPartBody>
        <w:p w:rsidR="005F65A6" w:rsidRDefault="00217035" w:rsidP="00217035">
          <w:pPr>
            <w:pStyle w:val="19043C12E1C146CABEC7AD0F7E4EC858"/>
          </w:pPr>
          <w:r>
            <w:rPr>
              <w:rFonts w:ascii="Arial" w:hAnsi="Arial"/>
              <w:b/>
              <w:bCs/>
              <w:sz w:val="26"/>
              <w:szCs w:val="26"/>
              <w:rtl/>
            </w:rPr>
            <w:t>שם צד א' ללא שם של חסוי</w:t>
          </w:r>
        </w:p>
      </w:docPartBody>
    </w:docPart>
    <w:docPart>
      <w:docPartPr>
        <w:name w:val="470022AFB7174884B4CF0EA76A1869BC"/>
        <w:category>
          <w:name w:val="כללי"/>
          <w:gallery w:val="placeholder"/>
        </w:category>
        <w:types>
          <w:type w:val="bbPlcHdr"/>
        </w:types>
        <w:behaviors>
          <w:behavior w:val="content"/>
        </w:behaviors>
        <w:guid w:val="{F52807D7-9A42-4081-B49C-E40D1F7C87AF}"/>
      </w:docPartPr>
      <w:docPartBody>
        <w:p w:rsidR="005F65A6" w:rsidRDefault="00217035" w:rsidP="00217035">
          <w:pPr>
            <w:pStyle w:val="470022AFB7174884B4CF0EA76A1869BC"/>
          </w:pPr>
          <w:r>
            <w:rPr>
              <w:rFonts w:ascii="Arial" w:hAnsi="Arial"/>
              <w:b/>
              <w:bCs/>
              <w:sz w:val="26"/>
              <w:szCs w:val="26"/>
              <w:rtl/>
            </w:rPr>
            <w:t>שם צד ב' ללא שם של חסוי</w:t>
          </w:r>
        </w:p>
      </w:docPartBody>
    </w:docPart>
    <w:docPart>
      <w:docPartPr>
        <w:name w:val="B6A54D7EE2B24E04B8D2C81FA0A053DB"/>
        <w:category>
          <w:name w:val="כללי"/>
          <w:gallery w:val="placeholder"/>
        </w:category>
        <w:types>
          <w:type w:val="bbPlcHdr"/>
        </w:types>
        <w:behaviors>
          <w:behavior w:val="content"/>
        </w:behaviors>
        <w:guid w:val="{D395A0D9-15C9-4AD8-9E01-976324B0A9AB}"/>
      </w:docPartPr>
      <w:docPartBody>
        <w:p w:rsidR="005F65A6" w:rsidRDefault="00217035" w:rsidP="00217035">
          <w:pPr>
            <w:pStyle w:val="B6A54D7EE2B24E04B8D2C81FA0A053DB"/>
          </w:pPr>
          <w:r>
            <w:rPr>
              <w:b/>
              <w:bCs/>
              <w:sz w:val="26"/>
              <w:szCs w:val="26"/>
              <w:rtl/>
            </w:rPr>
            <w:t>שם תיק ללא שמות חסויים</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7035"/>
    <w:rsid w:val="00217035"/>
    <w:rsid w:val="005F65A6"/>
    <w:rsid w:val="00EC766B"/>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9043C12E1C146CABEC7AD0F7E4EC858">
    <w:name w:val="19043C12E1C146CABEC7AD0F7E4EC858"/>
    <w:rsid w:val="00217035"/>
    <w:pPr>
      <w:bidi/>
    </w:pPr>
  </w:style>
  <w:style w:type="paragraph" w:customStyle="1" w:styleId="470022AFB7174884B4CF0EA76A1869BC">
    <w:name w:val="470022AFB7174884B4CF0EA76A1869BC"/>
    <w:rsid w:val="00217035"/>
    <w:pPr>
      <w:bidi/>
    </w:pPr>
  </w:style>
  <w:style w:type="paragraph" w:customStyle="1" w:styleId="6B9E6F69507D4210AC21167B0C941E06">
    <w:name w:val="6B9E6F69507D4210AC21167B0C941E06"/>
    <w:rsid w:val="00217035"/>
    <w:pPr>
      <w:bidi/>
    </w:pPr>
  </w:style>
  <w:style w:type="paragraph" w:customStyle="1" w:styleId="B6A54D7EE2B24E04B8D2C81FA0A053DB">
    <w:name w:val="B6A54D7EE2B24E04B8D2C81FA0A053DB"/>
    <w:rsid w:val="00217035"/>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1237</Words>
  <Characters>6189</Characters>
  <Application>Microsoft Office Word</Application>
  <DocSecurity>0</DocSecurity>
  <Lines>51</Lines>
  <Paragraphs>14</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7412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פאני גילת כהן</dc:creator>
  <cp:keywords/>
  <dc:description/>
  <cp:lastModifiedBy>אסתר טטרואשילי</cp:lastModifiedBy>
  <cp:revision>2</cp:revision>
  <dcterms:created xsi:type="dcterms:W3CDTF">2023-11-30T09:40:00Z</dcterms:created>
  <dcterms:modified xsi:type="dcterms:W3CDTF">2023-11-30T09:40:00Z</dcterms:modified>
</cp:coreProperties>
</file>